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8E7" w:rsidRPr="00595F75" w:rsidRDefault="008C7A02" w:rsidP="00FA51FA">
      <w:pPr>
        <w:jc w:val="center"/>
        <w:rPr>
          <w:rFonts w:ascii="Times New Roman" w:hAnsi="Times New Roman" w:cs="Times New Roman"/>
          <w:b/>
          <w:sz w:val="24"/>
          <w:szCs w:val="24"/>
          <w:u w:val="single"/>
        </w:rPr>
      </w:pPr>
      <w:r w:rsidRPr="00595F75">
        <w:rPr>
          <w:rFonts w:ascii="Times New Roman" w:hAnsi="Times New Roman" w:cs="Times New Roman"/>
          <w:b/>
          <w:sz w:val="24"/>
          <w:szCs w:val="24"/>
          <w:u w:val="single"/>
        </w:rPr>
        <w:t>RBI Circular</w:t>
      </w:r>
      <w:r w:rsidR="00A50C6D" w:rsidRPr="00595F75">
        <w:rPr>
          <w:rFonts w:ascii="Times New Roman" w:hAnsi="Times New Roman" w:cs="Times New Roman"/>
          <w:b/>
          <w:sz w:val="24"/>
          <w:szCs w:val="24"/>
          <w:u w:val="single"/>
        </w:rPr>
        <w:t xml:space="preserve"> </w:t>
      </w:r>
      <w:r w:rsidRPr="00595F75">
        <w:rPr>
          <w:rFonts w:ascii="Times New Roman" w:hAnsi="Times New Roman" w:cs="Times New Roman"/>
          <w:b/>
          <w:sz w:val="24"/>
          <w:szCs w:val="24"/>
          <w:u w:val="single"/>
        </w:rPr>
        <w:t>Consolidation</w:t>
      </w:r>
      <w:r w:rsidR="00FA51FA" w:rsidRPr="00595F75">
        <w:rPr>
          <w:rFonts w:ascii="Times New Roman" w:hAnsi="Times New Roman" w:cs="Times New Roman"/>
          <w:b/>
          <w:sz w:val="24"/>
          <w:szCs w:val="24"/>
          <w:u w:val="single"/>
        </w:rPr>
        <w:t xml:space="preserve"> - </w:t>
      </w:r>
      <w:r w:rsidR="00EA23F4" w:rsidRPr="00595F75">
        <w:rPr>
          <w:rFonts w:ascii="Times New Roman" w:hAnsi="Times New Roman" w:cs="Times New Roman"/>
          <w:b/>
          <w:sz w:val="24"/>
          <w:szCs w:val="24"/>
          <w:u w:val="single"/>
        </w:rPr>
        <w:t>Jul-Dec</w:t>
      </w:r>
      <w:r w:rsidR="00FA51FA" w:rsidRPr="00595F75">
        <w:rPr>
          <w:rFonts w:ascii="Times New Roman" w:hAnsi="Times New Roman" w:cs="Times New Roman"/>
          <w:b/>
          <w:sz w:val="24"/>
          <w:szCs w:val="24"/>
          <w:u w:val="single"/>
        </w:rPr>
        <w:t>’22</w:t>
      </w:r>
    </w:p>
    <w:p w:rsidR="00BA4199" w:rsidRPr="00595F75" w:rsidRDefault="00BA4199" w:rsidP="00BA4199">
      <w:pPr>
        <w:rPr>
          <w:rFonts w:ascii="Times New Roman" w:hAnsi="Times New Roman" w:cs="Times New Roman"/>
          <w:b/>
          <w:sz w:val="24"/>
          <w:szCs w:val="24"/>
          <w:u w:val="single"/>
        </w:rPr>
      </w:pPr>
    </w:p>
    <w:tbl>
      <w:tblPr>
        <w:tblW w:w="9493" w:type="dxa"/>
        <w:tblLook w:val="04A0" w:firstRow="1" w:lastRow="0" w:firstColumn="1" w:lastColumn="0" w:noHBand="0" w:noVBand="1"/>
      </w:tblPr>
      <w:tblGrid>
        <w:gridCol w:w="763"/>
        <w:gridCol w:w="8730"/>
      </w:tblGrid>
      <w:tr w:rsidR="005065B6" w:rsidRPr="005065B6" w:rsidTr="005065B6">
        <w:trPr>
          <w:trHeight w:val="510"/>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jc w:val="center"/>
              <w:rPr>
                <w:rFonts w:ascii="Times New Roman" w:eastAsia="Times New Roman" w:hAnsi="Times New Roman" w:cs="Times New Roman"/>
                <w:b/>
                <w:bCs/>
                <w:sz w:val="24"/>
                <w:szCs w:val="24"/>
                <w:lang w:eastAsia="en-IN"/>
              </w:rPr>
            </w:pPr>
            <w:proofErr w:type="spellStart"/>
            <w:r w:rsidRPr="005065B6">
              <w:rPr>
                <w:rFonts w:ascii="Times New Roman" w:eastAsia="Times New Roman" w:hAnsi="Times New Roman" w:cs="Times New Roman"/>
                <w:b/>
                <w:bCs/>
                <w:sz w:val="24"/>
                <w:szCs w:val="24"/>
                <w:lang w:eastAsia="en-IN"/>
              </w:rPr>
              <w:t>S.No</w:t>
            </w:r>
            <w:proofErr w:type="spellEnd"/>
            <w:r w:rsidRPr="005065B6">
              <w:rPr>
                <w:rFonts w:ascii="Times New Roman" w:eastAsia="Times New Roman" w:hAnsi="Times New Roman" w:cs="Times New Roman"/>
                <w:b/>
                <w:bCs/>
                <w:sz w:val="24"/>
                <w:szCs w:val="24"/>
                <w:lang w:eastAsia="en-IN"/>
              </w:rPr>
              <w:t>.</w:t>
            </w:r>
          </w:p>
        </w:tc>
        <w:tc>
          <w:tcPr>
            <w:tcW w:w="8836" w:type="dxa"/>
            <w:tcBorders>
              <w:top w:val="single" w:sz="4" w:space="0" w:color="auto"/>
              <w:left w:val="nil"/>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jc w:val="center"/>
              <w:rPr>
                <w:rFonts w:ascii="Times New Roman" w:eastAsia="Times New Roman" w:hAnsi="Times New Roman" w:cs="Times New Roman"/>
                <w:b/>
                <w:bCs/>
                <w:sz w:val="24"/>
                <w:szCs w:val="24"/>
                <w:lang w:eastAsia="en-IN"/>
              </w:rPr>
            </w:pPr>
            <w:r w:rsidRPr="005065B6">
              <w:rPr>
                <w:rFonts w:ascii="Times New Roman" w:eastAsia="Times New Roman" w:hAnsi="Times New Roman" w:cs="Times New Roman"/>
                <w:b/>
                <w:bCs/>
                <w:sz w:val="24"/>
                <w:szCs w:val="24"/>
                <w:lang w:eastAsia="en-IN"/>
              </w:rPr>
              <w:t>RBI Notifications</w:t>
            </w:r>
          </w:p>
        </w:tc>
      </w:tr>
      <w:tr w:rsidR="005065B6" w:rsidRPr="005065B6" w:rsidTr="005065B6">
        <w:trPr>
          <w:trHeight w:val="51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1</w:t>
            </w:r>
          </w:p>
        </w:tc>
        <w:tc>
          <w:tcPr>
            <w:tcW w:w="8836" w:type="dxa"/>
            <w:tcBorders>
              <w:top w:val="nil"/>
              <w:left w:val="nil"/>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Note Sorting Machines - Authentication and Fitness Sorting Parameters</w:t>
            </w:r>
          </w:p>
        </w:tc>
      </w:tr>
      <w:tr w:rsidR="005065B6" w:rsidRPr="005065B6" w:rsidTr="005065B6">
        <w:trPr>
          <w:trHeight w:val="726"/>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2</w:t>
            </w:r>
          </w:p>
        </w:tc>
        <w:tc>
          <w:tcPr>
            <w:tcW w:w="8836" w:type="dxa"/>
            <w:tcBorders>
              <w:top w:val="nil"/>
              <w:left w:val="nil"/>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Requirement for obtaining prior approval in case of takeover / acquisition of control of non-bank PSOs and sale / transfer of payment system activity of non-bank PSO</w:t>
            </w:r>
          </w:p>
        </w:tc>
      </w:tr>
      <w:tr w:rsidR="005065B6" w:rsidRPr="005065B6" w:rsidTr="005065B6">
        <w:trPr>
          <w:trHeight w:val="69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3</w:t>
            </w:r>
          </w:p>
        </w:tc>
        <w:tc>
          <w:tcPr>
            <w:tcW w:w="8836" w:type="dxa"/>
            <w:tcBorders>
              <w:top w:val="nil"/>
              <w:left w:val="nil"/>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Master Direction on Interest Rate on Deposits - Foreign Currency (Non-resident) Accounts (Banks) Scheme [FCNR(B)] and Non-Resident (External) Rupee (NRE) Deposit</w:t>
            </w:r>
          </w:p>
        </w:tc>
      </w:tr>
      <w:tr w:rsidR="005065B6" w:rsidRPr="005065B6" w:rsidTr="005065B6">
        <w:trPr>
          <w:trHeight w:val="70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4</w:t>
            </w:r>
          </w:p>
        </w:tc>
        <w:tc>
          <w:tcPr>
            <w:tcW w:w="8836" w:type="dxa"/>
            <w:tcBorders>
              <w:top w:val="nil"/>
              <w:left w:val="nil"/>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Section 42 of the Reserve Bank of India Act, 1934 and Section 18 and 24 of the Banking Regulation Act, 1949 – FCNR (B)/NRE Term deposits - Exemption from maintenance of CRR/SLR</w:t>
            </w:r>
          </w:p>
        </w:tc>
      </w:tr>
      <w:tr w:rsidR="005065B6" w:rsidRPr="005065B6" w:rsidTr="005065B6">
        <w:trPr>
          <w:trHeight w:val="51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5</w:t>
            </w:r>
          </w:p>
        </w:tc>
        <w:tc>
          <w:tcPr>
            <w:tcW w:w="8836" w:type="dxa"/>
            <w:tcBorders>
              <w:top w:val="nil"/>
              <w:left w:val="nil"/>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Investment by Foreign Portfolio Investors (FPI) in Debt - Relaxations</w:t>
            </w:r>
          </w:p>
        </w:tc>
      </w:tr>
      <w:tr w:rsidR="005065B6" w:rsidRPr="005065B6" w:rsidTr="005065B6">
        <w:trPr>
          <w:trHeight w:val="51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6</w:t>
            </w:r>
          </w:p>
        </w:tc>
        <w:tc>
          <w:tcPr>
            <w:tcW w:w="8836" w:type="dxa"/>
            <w:tcBorders>
              <w:top w:val="nil"/>
              <w:left w:val="nil"/>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Overseas foreign currency borrowings of Authorised Dealer Category-I banks</w:t>
            </w:r>
          </w:p>
        </w:tc>
      </w:tr>
      <w:tr w:rsidR="005065B6" w:rsidRPr="005065B6" w:rsidTr="005065B6">
        <w:trPr>
          <w:trHeight w:val="51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7</w:t>
            </w:r>
          </w:p>
        </w:tc>
        <w:tc>
          <w:tcPr>
            <w:tcW w:w="8836" w:type="dxa"/>
            <w:tcBorders>
              <w:top w:val="nil"/>
              <w:left w:val="nil"/>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International Trade Settlement in Indian Rupees (INR)</w:t>
            </w:r>
          </w:p>
        </w:tc>
      </w:tr>
      <w:tr w:rsidR="005065B6" w:rsidRPr="005065B6" w:rsidTr="005065B6">
        <w:trPr>
          <w:trHeight w:val="76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8</w:t>
            </w:r>
          </w:p>
        </w:tc>
        <w:tc>
          <w:tcPr>
            <w:tcW w:w="8836" w:type="dxa"/>
            <w:tcBorders>
              <w:top w:val="nil"/>
              <w:left w:val="nil"/>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 xml:space="preserve">Master Circular – </w:t>
            </w:r>
            <w:proofErr w:type="spellStart"/>
            <w:r w:rsidRPr="005065B6">
              <w:rPr>
                <w:rFonts w:ascii="Times New Roman" w:eastAsia="Times New Roman" w:hAnsi="Times New Roman" w:cs="Times New Roman"/>
                <w:color w:val="000000"/>
                <w:sz w:val="24"/>
                <w:szCs w:val="24"/>
                <w:lang w:eastAsia="en-IN"/>
              </w:rPr>
              <w:t>Deendayal</w:t>
            </w:r>
            <w:proofErr w:type="spellEnd"/>
            <w:r w:rsidRPr="005065B6">
              <w:rPr>
                <w:rFonts w:ascii="Times New Roman" w:eastAsia="Times New Roman" w:hAnsi="Times New Roman" w:cs="Times New Roman"/>
                <w:color w:val="000000"/>
                <w:sz w:val="24"/>
                <w:szCs w:val="24"/>
                <w:lang w:eastAsia="en-IN"/>
              </w:rPr>
              <w:t xml:space="preserve"> </w:t>
            </w:r>
            <w:proofErr w:type="spellStart"/>
            <w:r w:rsidRPr="005065B6">
              <w:rPr>
                <w:rFonts w:ascii="Times New Roman" w:eastAsia="Times New Roman" w:hAnsi="Times New Roman" w:cs="Times New Roman"/>
                <w:color w:val="000000"/>
                <w:sz w:val="24"/>
                <w:szCs w:val="24"/>
                <w:lang w:eastAsia="en-IN"/>
              </w:rPr>
              <w:t>Antyodaya</w:t>
            </w:r>
            <w:proofErr w:type="spellEnd"/>
            <w:r w:rsidRPr="005065B6">
              <w:rPr>
                <w:rFonts w:ascii="Times New Roman" w:eastAsia="Times New Roman" w:hAnsi="Times New Roman" w:cs="Times New Roman"/>
                <w:color w:val="000000"/>
                <w:sz w:val="24"/>
                <w:szCs w:val="24"/>
                <w:lang w:eastAsia="en-IN"/>
              </w:rPr>
              <w:t xml:space="preserve"> </w:t>
            </w:r>
            <w:proofErr w:type="spellStart"/>
            <w:r w:rsidRPr="005065B6">
              <w:rPr>
                <w:rFonts w:ascii="Times New Roman" w:eastAsia="Times New Roman" w:hAnsi="Times New Roman" w:cs="Times New Roman"/>
                <w:color w:val="000000"/>
                <w:sz w:val="24"/>
                <w:szCs w:val="24"/>
                <w:lang w:eastAsia="en-IN"/>
              </w:rPr>
              <w:t>Yojana</w:t>
            </w:r>
            <w:proofErr w:type="spellEnd"/>
            <w:r w:rsidRPr="005065B6">
              <w:rPr>
                <w:rFonts w:ascii="Times New Roman" w:eastAsia="Times New Roman" w:hAnsi="Times New Roman" w:cs="Times New Roman"/>
                <w:color w:val="000000"/>
                <w:sz w:val="24"/>
                <w:szCs w:val="24"/>
                <w:lang w:eastAsia="en-IN"/>
              </w:rPr>
              <w:t xml:space="preserve"> - National Rural Livelihoods Mission (DAY-NRLM)</w:t>
            </w:r>
          </w:p>
        </w:tc>
      </w:tr>
      <w:tr w:rsidR="005065B6" w:rsidRPr="005065B6" w:rsidTr="005065B6">
        <w:trPr>
          <w:trHeight w:val="51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9</w:t>
            </w:r>
          </w:p>
        </w:tc>
        <w:tc>
          <w:tcPr>
            <w:tcW w:w="8836" w:type="dxa"/>
            <w:tcBorders>
              <w:top w:val="nil"/>
              <w:left w:val="nil"/>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Board approved Loan Policy – Management of Advances - UCBs</w:t>
            </w:r>
          </w:p>
        </w:tc>
      </w:tr>
      <w:tr w:rsidR="005065B6" w:rsidRPr="005065B6" w:rsidTr="005065B6">
        <w:trPr>
          <w:trHeight w:val="51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10</w:t>
            </w:r>
          </w:p>
        </w:tc>
        <w:tc>
          <w:tcPr>
            <w:tcW w:w="8836" w:type="dxa"/>
            <w:tcBorders>
              <w:top w:val="nil"/>
              <w:left w:val="nil"/>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Restriction on Storage of Actual Card Data [i.e. Card-on-File (</w:t>
            </w:r>
            <w:proofErr w:type="spellStart"/>
            <w:r w:rsidRPr="005065B6">
              <w:rPr>
                <w:rFonts w:ascii="Times New Roman" w:eastAsia="Times New Roman" w:hAnsi="Times New Roman" w:cs="Times New Roman"/>
                <w:color w:val="000000"/>
                <w:sz w:val="24"/>
                <w:szCs w:val="24"/>
                <w:lang w:eastAsia="en-IN"/>
              </w:rPr>
              <w:t>CoF</w:t>
            </w:r>
            <w:proofErr w:type="spellEnd"/>
            <w:r w:rsidRPr="005065B6">
              <w:rPr>
                <w:rFonts w:ascii="Times New Roman" w:eastAsia="Times New Roman" w:hAnsi="Times New Roman" w:cs="Times New Roman"/>
                <w:color w:val="000000"/>
                <w:sz w:val="24"/>
                <w:szCs w:val="24"/>
                <w:lang w:eastAsia="en-IN"/>
              </w:rPr>
              <w:t>)]</w:t>
            </w:r>
          </w:p>
        </w:tc>
      </w:tr>
      <w:tr w:rsidR="005065B6" w:rsidRPr="005065B6" w:rsidTr="005065B6">
        <w:trPr>
          <w:trHeight w:val="76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11</w:t>
            </w:r>
          </w:p>
        </w:tc>
        <w:tc>
          <w:tcPr>
            <w:tcW w:w="8836" w:type="dxa"/>
            <w:tcBorders>
              <w:top w:val="nil"/>
              <w:left w:val="nil"/>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Foreign Exchange Management (Borrowing and Lending) (Amendment) Regulations, 2022</w:t>
            </w:r>
          </w:p>
        </w:tc>
      </w:tr>
      <w:tr w:rsidR="005065B6" w:rsidRPr="005065B6" w:rsidTr="00595F75">
        <w:trPr>
          <w:trHeight w:val="678"/>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12</w:t>
            </w:r>
          </w:p>
        </w:tc>
        <w:tc>
          <w:tcPr>
            <w:tcW w:w="8836" w:type="dxa"/>
            <w:tcBorders>
              <w:top w:val="nil"/>
              <w:left w:val="nil"/>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Master Circular - Credit facilities to Scheduled Castes (SCs) &amp; Scheduled Tribes (STs)</w:t>
            </w:r>
          </w:p>
        </w:tc>
      </w:tr>
      <w:tr w:rsidR="005065B6" w:rsidRPr="005065B6" w:rsidTr="005065B6">
        <w:trPr>
          <w:trHeight w:val="51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13</w:t>
            </w:r>
          </w:p>
        </w:tc>
        <w:tc>
          <w:tcPr>
            <w:tcW w:w="8836" w:type="dxa"/>
            <w:tcBorders>
              <w:top w:val="nil"/>
              <w:left w:val="nil"/>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External Commercial Borrowings (ECB) Policy – Liberalisation Measures</w:t>
            </w:r>
          </w:p>
        </w:tc>
      </w:tr>
      <w:tr w:rsidR="005065B6" w:rsidRPr="005065B6" w:rsidTr="005065B6">
        <w:trPr>
          <w:trHeight w:val="51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14</w:t>
            </w:r>
          </w:p>
        </w:tc>
        <w:tc>
          <w:tcPr>
            <w:tcW w:w="8836" w:type="dxa"/>
            <w:tcBorders>
              <w:top w:val="nil"/>
              <w:left w:val="nil"/>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Master Circular on Credit Facilities to Minority Communities</w:t>
            </w:r>
          </w:p>
        </w:tc>
      </w:tr>
      <w:tr w:rsidR="005065B6" w:rsidRPr="005065B6" w:rsidTr="005065B6">
        <w:trPr>
          <w:trHeight w:val="54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15</w:t>
            </w:r>
          </w:p>
        </w:tc>
        <w:tc>
          <w:tcPr>
            <w:tcW w:w="8836" w:type="dxa"/>
            <w:tcBorders>
              <w:top w:val="nil"/>
              <w:left w:val="nil"/>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Gold Monetization Scheme (GMS), 2015</w:t>
            </w:r>
          </w:p>
        </w:tc>
      </w:tr>
      <w:tr w:rsidR="005065B6" w:rsidRPr="005065B6" w:rsidTr="005065B6">
        <w:trPr>
          <w:trHeight w:val="51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16</w:t>
            </w:r>
          </w:p>
        </w:tc>
        <w:tc>
          <w:tcPr>
            <w:tcW w:w="8836" w:type="dxa"/>
            <w:tcBorders>
              <w:top w:val="nil"/>
              <w:left w:val="nil"/>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Reserve Bank - Integrated Ombudsman Scheme, 2021 (RBIOS, 2021)</w:t>
            </w:r>
          </w:p>
        </w:tc>
      </w:tr>
      <w:tr w:rsidR="005065B6" w:rsidRPr="005065B6" w:rsidTr="005065B6">
        <w:trPr>
          <w:trHeight w:val="51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17</w:t>
            </w:r>
          </w:p>
        </w:tc>
        <w:tc>
          <w:tcPr>
            <w:tcW w:w="8836" w:type="dxa"/>
            <w:tcBorders>
              <w:top w:val="nil"/>
              <w:left w:val="nil"/>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sz w:val="24"/>
                <w:szCs w:val="24"/>
                <w:lang w:eastAsia="en-IN"/>
              </w:rPr>
            </w:pPr>
            <w:r w:rsidRPr="005065B6">
              <w:rPr>
                <w:rFonts w:ascii="Times New Roman" w:eastAsia="Times New Roman" w:hAnsi="Times New Roman" w:cs="Times New Roman"/>
                <w:sz w:val="24"/>
                <w:szCs w:val="24"/>
                <w:lang w:eastAsia="en-IN"/>
              </w:rPr>
              <w:t>Authorised Dealer Category-I License eligibility for Small Finance Banks</w:t>
            </w:r>
          </w:p>
        </w:tc>
      </w:tr>
      <w:tr w:rsidR="005065B6" w:rsidRPr="005065B6" w:rsidTr="005065B6">
        <w:trPr>
          <w:trHeight w:val="51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18</w:t>
            </w:r>
          </w:p>
        </w:tc>
        <w:tc>
          <w:tcPr>
            <w:tcW w:w="8836" w:type="dxa"/>
            <w:tcBorders>
              <w:top w:val="nil"/>
              <w:left w:val="nil"/>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Rupee Interest Rate Derivatives (Reserve Bank) Directions - Review</w:t>
            </w:r>
          </w:p>
        </w:tc>
      </w:tr>
      <w:tr w:rsidR="005065B6" w:rsidRPr="005065B6" w:rsidTr="00595F75">
        <w:trPr>
          <w:trHeight w:val="127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19</w:t>
            </w:r>
          </w:p>
        </w:tc>
        <w:tc>
          <w:tcPr>
            <w:tcW w:w="8836" w:type="dxa"/>
            <w:tcBorders>
              <w:top w:val="nil"/>
              <w:left w:val="nil"/>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Section 23 of the Banking Regulation Act, 1949 (As Applicable to Co-operative Societies) – Opening of new place of business by District Central Co-operative Banks (DCCBs)</w:t>
            </w:r>
          </w:p>
        </w:tc>
      </w:tr>
      <w:tr w:rsidR="005065B6" w:rsidRPr="00595F75" w:rsidTr="00595F75">
        <w:trPr>
          <w:trHeight w:val="557"/>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65B6" w:rsidRPr="005065B6" w:rsidRDefault="005065B6" w:rsidP="005065B6">
            <w:pPr>
              <w:spacing w:after="0" w:line="240" w:lineRule="auto"/>
              <w:jc w:val="center"/>
              <w:rPr>
                <w:rFonts w:ascii="Times New Roman" w:eastAsia="Times New Roman" w:hAnsi="Times New Roman" w:cs="Times New Roman"/>
                <w:b/>
                <w:bCs/>
                <w:sz w:val="24"/>
                <w:szCs w:val="24"/>
                <w:lang w:eastAsia="en-IN"/>
              </w:rPr>
            </w:pPr>
            <w:proofErr w:type="spellStart"/>
            <w:r w:rsidRPr="005065B6">
              <w:rPr>
                <w:rFonts w:ascii="Times New Roman" w:eastAsia="Times New Roman" w:hAnsi="Times New Roman" w:cs="Times New Roman"/>
                <w:b/>
                <w:bCs/>
                <w:sz w:val="24"/>
                <w:szCs w:val="24"/>
                <w:lang w:eastAsia="en-IN"/>
              </w:rPr>
              <w:lastRenderedPageBreak/>
              <w:t>S.No</w:t>
            </w:r>
            <w:proofErr w:type="spellEnd"/>
            <w:r w:rsidRPr="005065B6">
              <w:rPr>
                <w:rFonts w:ascii="Times New Roman" w:eastAsia="Times New Roman" w:hAnsi="Times New Roman" w:cs="Times New Roman"/>
                <w:b/>
                <w:bCs/>
                <w:sz w:val="24"/>
                <w:szCs w:val="24"/>
                <w:lang w:eastAsia="en-IN"/>
              </w:rPr>
              <w:t>.</w:t>
            </w:r>
          </w:p>
        </w:tc>
        <w:tc>
          <w:tcPr>
            <w:tcW w:w="8836" w:type="dxa"/>
            <w:tcBorders>
              <w:top w:val="single" w:sz="4" w:space="0" w:color="auto"/>
              <w:left w:val="single" w:sz="4" w:space="0" w:color="auto"/>
              <w:bottom w:val="single" w:sz="4" w:space="0" w:color="auto"/>
              <w:right w:val="single" w:sz="4" w:space="0" w:color="auto"/>
            </w:tcBorders>
            <w:shd w:val="clear" w:color="auto" w:fill="auto"/>
            <w:vAlign w:val="center"/>
          </w:tcPr>
          <w:p w:rsidR="005065B6" w:rsidRPr="005065B6" w:rsidRDefault="005065B6" w:rsidP="005065B6">
            <w:pPr>
              <w:spacing w:after="0" w:line="240" w:lineRule="auto"/>
              <w:jc w:val="center"/>
              <w:rPr>
                <w:rFonts w:ascii="Times New Roman" w:eastAsia="Times New Roman" w:hAnsi="Times New Roman" w:cs="Times New Roman"/>
                <w:b/>
                <w:bCs/>
                <w:sz w:val="24"/>
                <w:szCs w:val="24"/>
                <w:lang w:eastAsia="en-IN"/>
              </w:rPr>
            </w:pPr>
            <w:r w:rsidRPr="005065B6">
              <w:rPr>
                <w:rFonts w:ascii="Times New Roman" w:eastAsia="Times New Roman" w:hAnsi="Times New Roman" w:cs="Times New Roman"/>
                <w:b/>
                <w:bCs/>
                <w:sz w:val="24"/>
                <w:szCs w:val="24"/>
                <w:lang w:eastAsia="en-IN"/>
              </w:rPr>
              <w:t>RBI Notifications</w:t>
            </w:r>
          </w:p>
        </w:tc>
      </w:tr>
      <w:tr w:rsidR="005065B6" w:rsidRPr="005065B6" w:rsidTr="00595F75">
        <w:trPr>
          <w:trHeight w:val="497"/>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20</w:t>
            </w:r>
          </w:p>
        </w:tc>
        <w:tc>
          <w:tcPr>
            <w:tcW w:w="8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Bilateral Netting of Qualified Financial Contracts - Amendments to Prudential Guidelines</w:t>
            </w:r>
          </w:p>
        </w:tc>
      </w:tr>
      <w:tr w:rsidR="005065B6" w:rsidRPr="005065B6" w:rsidTr="00595F75">
        <w:trPr>
          <w:trHeight w:val="561"/>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21</w:t>
            </w:r>
          </w:p>
        </w:tc>
        <w:tc>
          <w:tcPr>
            <w:tcW w:w="8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Outsourcing of Financial Services - Responsibilities of regulated entities employing Recovery Agents</w:t>
            </w:r>
          </w:p>
        </w:tc>
      </w:tr>
      <w:tr w:rsidR="005065B6" w:rsidRPr="005065B6" w:rsidTr="00595F75">
        <w:trPr>
          <w:trHeight w:val="51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22</w:t>
            </w:r>
          </w:p>
        </w:tc>
        <w:tc>
          <w:tcPr>
            <w:tcW w:w="8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Foreign Exchange Management (Overseas Investment) Regulations, 2022</w:t>
            </w:r>
          </w:p>
        </w:tc>
      </w:tr>
      <w:tr w:rsidR="005065B6" w:rsidRPr="005065B6" w:rsidTr="00595F75">
        <w:trPr>
          <w:trHeight w:val="51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23</w:t>
            </w:r>
          </w:p>
        </w:tc>
        <w:tc>
          <w:tcPr>
            <w:tcW w:w="8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Foreign Exchange Management (Overseas Investment) Directions, 2022</w:t>
            </w:r>
          </w:p>
        </w:tc>
      </w:tr>
      <w:tr w:rsidR="005065B6" w:rsidRPr="005065B6" w:rsidTr="00595F75">
        <w:trPr>
          <w:trHeight w:val="523"/>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24</w:t>
            </w:r>
          </w:p>
        </w:tc>
        <w:tc>
          <w:tcPr>
            <w:tcW w:w="8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Guidelines on Digital Lending</w:t>
            </w:r>
          </w:p>
        </w:tc>
      </w:tr>
      <w:tr w:rsidR="005065B6" w:rsidRPr="005065B6" w:rsidTr="00595F75">
        <w:trPr>
          <w:trHeight w:val="51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25</w:t>
            </w:r>
          </w:p>
        </w:tc>
        <w:tc>
          <w:tcPr>
            <w:tcW w:w="8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Incentive for improving service to non-chest branches</w:t>
            </w:r>
          </w:p>
        </w:tc>
      </w:tr>
      <w:tr w:rsidR="005065B6" w:rsidRPr="005065B6" w:rsidTr="00595F75">
        <w:trPr>
          <w:trHeight w:val="535"/>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26</w:t>
            </w:r>
          </w:p>
        </w:tc>
        <w:tc>
          <w:tcPr>
            <w:tcW w:w="8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Review of Prudential Norms – Risk Weights for Exposures guaranteed by Credit Guarantee Schemes (CGS)</w:t>
            </w:r>
          </w:p>
        </w:tc>
      </w:tr>
      <w:tr w:rsidR="005065B6" w:rsidRPr="005065B6" w:rsidTr="00595F75">
        <w:trPr>
          <w:trHeight w:val="758"/>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27</w:t>
            </w:r>
          </w:p>
        </w:tc>
        <w:tc>
          <w:tcPr>
            <w:tcW w:w="8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Rupee Drawing Arrangement - Enabling Bharat Bill Payment System (BBPS) to process cross-border inbound Bill Payments</w:t>
            </w:r>
          </w:p>
        </w:tc>
      </w:tr>
      <w:tr w:rsidR="005065B6" w:rsidRPr="005065B6" w:rsidTr="00595F75">
        <w:trPr>
          <w:trHeight w:val="51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28</w:t>
            </w:r>
          </w:p>
        </w:tc>
        <w:tc>
          <w:tcPr>
            <w:tcW w:w="8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Master Directions on Interest Rate on Deposits</w:t>
            </w:r>
          </w:p>
        </w:tc>
      </w:tr>
      <w:tr w:rsidR="005065B6" w:rsidRPr="005065B6" w:rsidTr="00595F75">
        <w:trPr>
          <w:trHeight w:val="765"/>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29</w:t>
            </w:r>
          </w:p>
        </w:tc>
        <w:tc>
          <w:tcPr>
            <w:tcW w:w="8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Compliance Function and Role of Chief Compliance Officer (CCO)- Urban Co-operative Banks</w:t>
            </w:r>
          </w:p>
        </w:tc>
      </w:tr>
      <w:tr w:rsidR="005065B6" w:rsidRPr="005065B6" w:rsidTr="00595F75">
        <w:trPr>
          <w:trHeight w:val="537"/>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30</w:t>
            </w:r>
          </w:p>
        </w:tc>
        <w:tc>
          <w:tcPr>
            <w:tcW w:w="8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Late Submission Fee for reporting delays under Foreign Exchange Management Act, 1999 (FEMA)</w:t>
            </w:r>
          </w:p>
        </w:tc>
      </w:tr>
      <w:tr w:rsidR="005065B6" w:rsidRPr="005065B6" w:rsidTr="00595F75">
        <w:trPr>
          <w:trHeight w:val="51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31</w:t>
            </w:r>
          </w:p>
        </w:tc>
        <w:tc>
          <w:tcPr>
            <w:tcW w:w="8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Appointment of Internal Ombudsman by the Credit Information Companies</w:t>
            </w:r>
          </w:p>
        </w:tc>
      </w:tr>
      <w:tr w:rsidR="005065B6" w:rsidRPr="005065B6" w:rsidTr="00595F75">
        <w:trPr>
          <w:trHeight w:val="608"/>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32</w:t>
            </w:r>
          </w:p>
        </w:tc>
        <w:tc>
          <w:tcPr>
            <w:tcW w:w="8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Review of Prudential Norms – Risk Weights for Exposures to Corporates and NBFCs</w:t>
            </w:r>
          </w:p>
        </w:tc>
      </w:tr>
      <w:tr w:rsidR="005065B6" w:rsidRPr="005065B6" w:rsidTr="00595F75">
        <w:trPr>
          <w:trHeight w:val="535"/>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33</w:t>
            </w:r>
          </w:p>
        </w:tc>
        <w:tc>
          <w:tcPr>
            <w:tcW w:w="8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Diversification of activities by SPDs – Review of permissible non-core activities</w:t>
            </w:r>
          </w:p>
        </w:tc>
      </w:tr>
      <w:tr w:rsidR="005065B6" w:rsidRPr="005065B6" w:rsidTr="00595F75">
        <w:trPr>
          <w:trHeight w:val="102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34</w:t>
            </w:r>
          </w:p>
        </w:tc>
        <w:tc>
          <w:tcPr>
            <w:tcW w:w="8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Diversification of activities by SPDs – Review of permissible non-core activities – Prudential regulations and other instructions</w:t>
            </w:r>
          </w:p>
        </w:tc>
      </w:tr>
      <w:tr w:rsidR="005065B6" w:rsidRPr="005065B6" w:rsidTr="00595F75">
        <w:trPr>
          <w:trHeight w:val="51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35</w:t>
            </w:r>
          </w:p>
        </w:tc>
        <w:tc>
          <w:tcPr>
            <w:tcW w:w="8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Review of Regulatory Framework for Asset Reconstruction Companies (ARCs)</w:t>
            </w:r>
          </w:p>
        </w:tc>
      </w:tr>
      <w:tr w:rsidR="005065B6" w:rsidRPr="005065B6" w:rsidTr="00595F75">
        <w:trPr>
          <w:trHeight w:val="51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36</w:t>
            </w:r>
          </w:p>
        </w:tc>
        <w:tc>
          <w:tcPr>
            <w:tcW w:w="8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Multiple NBFCs in a Group: Classification in Middle Layer</w:t>
            </w:r>
          </w:p>
        </w:tc>
      </w:tr>
      <w:tr w:rsidR="005065B6" w:rsidRPr="005065B6" w:rsidTr="00595F75">
        <w:trPr>
          <w:trHeight w:val="91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37</w:t>
            </w:r>
          </w:p>
        </w:tc>
        <w:tc>
          <w:tcPr>
            <w:tcW w:w="8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Reserve Bank of India (Financial Statements - Presentation and Disclosures) Directions, 2021 - Disclosure of Divergence in Asset Classification and Provisioning</w:t>
            </w:r>
          </w:p>
        </w:tc>
      </w:tr>
      <w:tr w:rsidR="005065B6" w:rsidRPr="005065B6" w:rsidTr="00595F75">
        <w:trPr>
          <w:trHeight w:val="51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38</w:t>
            </w:r>
          </w:p>
        </w:tc>
        <w:tc>
          <w:tcPr>
            <w:tcW w:w="8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Reserve Bank of India (Unhedged Foreign Currency Exposure) Directions, 2022</w:t>
            </w:r>
          </w:p>
        </w:tc>
      </w:tr>
      <w:tr w:rsidR="005065B6" w:rsidRPr="005065B6" w:rsidTr="00595F75">
        <w:trPr>
          <w:trHeight w:val="799"/>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39</w:t>
            </w:r>
          </w:p>
        </w:tc>
        <w:tc>
          <w:tcPr>
            <w:tcW w:w="8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Claims Received from the National Credit Guarantee Trustee Company Ltd (NCGTC) - Classification for the Purpose of Maintenance of Cash Reserve Ratio (CRR)/Statutory Liquidity Ratio (SLR)</w:t>
            </w:r>
          </w:p>
        </w:tc>
      </w:tr>
      <w:tr w:rsidR="005065B6" w:rsidRPr="005065B6" w:rsidTr="00595F75">
        <w:trPr>
          <w:trHeight w:val="765"/>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40</w:t>
            </w:r>
          </w:p>
        </w:tc>
        <w:tc>
          <w:tcPr>
            <w:tcW w:w="8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Eligibility Criteria for offering Internet Banking Facility by Regional Rural Banks, 2022</w:t>
            </w:r>
          </w:p>
        </w:tc>
      </w:tr>
      <w:tr w:rsidR="005065B6" w:rsidRPr="00595F75" w:rsidTr="00595F75">
        <w:trPr>
          <w:trHeight w:val="51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65B6" w:rsidRPr="005065B6" w:rsidRDefault="005065B6" w:rsidP="005065B6">
            <w:pPr>
              <w:spacing w:after="0" w:line="240" w:lineRule="auto"/>
              <w:jc w:val="center"/>
              <w:rPr>
                <w:rFonts w:ascii="Times New Roman" w:eastAsia="Times New Roman" w:hAnsi="Times New Roman" w:cs="Times New Roman"/>
                <w:b/>
                <w:bCs/>
                <w:sz w:val="24"/>
                <w:szCs w:val="24"/>
                <w:lang w:eastAsia="en-IN"/>
              </w:rPr>
            </w:pPr>
            <w:proofErr w:type="spellStart"/>
            <w:r w:rsidRPr="005065B6">
              <w:rPr>
                <w:rFonts w:ascii="Times New Roman" w:eastAsia="Times New Roman" w:hAnsi="Times New Roman" w:cs="Times New Roman"/>
                <w:b/>
                <w:bCs/>
                <w:sz w:val="24"/>
                <w:szCs w:val="24"/>
                <w:lang w:eastAsia="en-IN"/>
              </w:rPr>
              <w:lastRenderedPageBreak/>
              <w:t>S.No</w:t>
            </w:r>
            <w:proofErr w:type="spellEnd"/>
            <w:r w:rsidRPr="005065B6">
              <w:rPr>
                <w:rFonts w:ascii="Times New Roman" w:eastAsia="Times New Roman" w:hAnsi="Times New Roman" w:cs="Times New Roman"/>
                <w:b/>
                <w:bCs/>
                <w:sz w:val="24"/>
                <w:szCs w:val="24"/>
                <w:lang w:eastAsia="en-IN"/>
              </w:rPr>
              <w:t>.</w:t>
            </w:r>
          </w:p>
        </w:tc>
        <w:tc>
          <w:tcPr>
            <w:tcW w:w="8836" w:type="dxa"/>
            <w:tcBorders>
              <w:top w:val="single" w:sz="4" w:space="0" w:color="auto"/>
              <w:left w:val="single" w:sz="4" w:space="0" w:color="auto"/>
              <w:bottom w:val="single" w:sz="4" w:space="0" w:color="auto"/>
              <w:right w:val="single" w:sz="4" w:space="0" w:color="auto"/>
            </w:tcBorders>
            <w:shd w:val="clear" w:color="auto" w:fill="auto"/>
            <w:vAlign w:val="center"/>
          </w:tcPr>
          <w:p w:rsidR="005065B6" w:rsidRPr="005065B6" w:rsidRDefault="005065B6" w:rsidP="005065B6">
            <w:pPr>
              <w:spacing w:after="0" w:line="240" w:lineRule="auto"/>
              <w:jc w:val="center"/>
              <w:rPr>
                <w:rFonts w:ascii="Times New Roman" w:eastAsia="Times New Roman" w:hAnsi="Times New Roman" w:cs="Times New Roman"/>
                <w:b/>
                <w:bCs/>
                <w:sz w:val="24"/>
                <w:szCs w:val="24"/>
                <w:lang w:eastAsia="en-IN"/>
              </w:rPr>
            </w:pPr>
            <w:r w:rsidRPr="005065B6">
              <w:rPr>
                <w:rFonts w:ascii="Times New Roman" w:eastAsia="Times New Roman" w:hAnsi="Times New Roman" w:cs="Times New Roman"/>
                <w:b/>
                <w:bCs/>
                <w:sz w:val="24"/>
                <w:szCs w:val="24"/>
                <w:lang w:eastAsia="en-IN"/>
              </w:rPr>
              <w:t>RBI Notifications</w:t>
            </w:r>
          </w:p>
        </w:tc>
      </w:tr>
      <w:tr w:rsidR="005065B6" w:rsidRPr="005065B6" w:rsidTr="005004E7">
        <w:trPr>
          <w:trHeight w:val="51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41</w:t>
            </w:r>
          </w:p>
        </w:tc>
        <w:tc>
          <w:tcPr>
            <w:tcW w:w="8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Agency Commission for Direct Tax collection under TIN 2.0 regime</w:t>
            </w:r>
          </w:p>
        </w:tc>
      </w:tr>
      <w:tr w:rsidR="005065B6" w:rsidRPr="005065B6" w:rsidTr="005004E7">
        <w:trPr>
          <w:trHeight w:val="1033"/>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42</w:t>
            </w:r>
          </w:p>
        </w:tc>
        <w:tc>
          <w:tcPr>
            <w:tcW w:w="8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 xml:space="preserve">Modified Interest Subvention Scheme for Short Term Loans for Agriculture and Allied Activities availed through </w:t>
            </w:r>
            <w:proofErr w:type="spellStart"/>
            <w:r w:rsidRPr="005065B6">
              <w:rPr>
                <w:rFonts w:ascii="Times New Roman" w:eastAsia="Times New Roman" w:hAnsi="Times New Roman" w:cs="Times New Roman"/>
                <w:color w:val="000000"/>
                <w:sz w:val="24"/>
                <w:szCs w:val="24"/>
                <w:lang w:eastAsia="en-IN"/>
              </w:rPr>
              <w:t>Kisan</w:t>
            </w:r>
            <w:proofErr w:type="spellEnd"/>
            <w:r w:rsidRPr="005065B6">
              <w:rPr>
                <w:rFonts w:ascii="Times New Roman" w:eastAsia="Times New Roman" w:hAnsi="Times New Roman" w:cs="Times New Roman"/>
                <w:color w:val="000000"/>
                <w:sz w:val="24"/>
                <w:szCs w:val="24"/>
                <w:lang w:eastAsia="en-IN"/>
              </w:rPr>
              <w:t xml:space="preserve"> Credit Card (KCC) during the financial years 2022-23 and 2023-24</w:t>
            </w:r>
          </w:p>
        </w:tc>
      </w:tr>
      <w:tr w:rsidR="005065B6" w:rsidRPr="005065B6" w:rsidTr="005004E7">
        <w:trPr>
          <w:trHeight w:val="102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43</w:t>
            </w:r>
          </w:p>
        </w:tc>
        <w:tc>
          <w:tcPr>
            <w:tcW w:w="8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Inclusion of Goods and Service Tax Network (GSTN) as a Financial Information Provider under Account Aggregator Framework</w:t>
            </w:r>
          </w:p>
        </w:tc>
      </w:tr>
      <w:tr w:rsidR="005065B6" w:rsidRPr="005065B6" w:rsidTr="005004E7">
        <w:trPr>
          <w:trHeight w:val="51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44</w:t>
            </w:r>
          </w:p>
        </w:tc>
        <w:tc>
          <w:tcPr>
            <w:tcW w:w="8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Basel III Framework on Liquidity Standards – Standing Deposit Facility</w:t>
            </w:r>
          </w:p>
        </w:tc>
      </w:tr>
      <w:tr w:rsidR="005065B6" w:rsidRPr="005065B6" w:rsidTr="005004E7">
        <w:trPr>
          <w:trHeight w:val="492"/>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45</w:t>
            </w:r>
          </w:p>
        </w:tc>
        <w:tc>
          <w:tcPr>
            <w:tcW w:w="8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Notification of Significant Benchmark</w:t>
            </w:r>
          </w:p>
        </w:tc>
      </w:tr>
      <w:tr w:rsidR="005065B6" w:rsidRPr="005065B6" w:rsidTr="005004E7">
        <w:trPr>
          <w:trHeight w:val="102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46</w:t>
            </w:r>
          </w:p>
        </w:tc>
        <w:tc>
          <w:tcPr>
            <w:tcW w:w="8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Review of norms for classification of Urban Co-operative Banks (UCBs) as Financially Sound and Well Managed (FSWM)</w:t>
            </w:r>
          </w:p>
        </w:tc>
      </w:tr>
      <w:tr w:rsidR="005065B6" w:rsidRPr="005065B6" w:rsidTr="005004E7">
        <w:trPr>
          <w:trHeight w:val="765"/>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47</w:t>
            </w:r>
          </w:p>
        </w:tc>
        <w:tc>
          <w:tcPr>
            <w:tcW w:w="8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Revised Regulatory Framework - Categorization of Urban Co-operative Banks (UCBs) for Regulatory Purposes</w:t>
            </w:r>
          </w:p>
        </w:tc>
      </w:tr>
      <w:tr w:rsidR="005065B6" w:rsidRPr="005065B6" w:rsidTr="005004E7">
        <w:trPr>
          <w:trHeight w:val="1021"/>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48</w:t>
            </w:r>
          </w:p>
        </w:tc>
        <w:tc>
          <w:tcPr>
            <w:tcW w:w="8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 xml:space="preserve">Operations of subsidiaries and branches of Indian banks and All India Financial Institutions (AIFIs) in foreign jurisdictions and in International Financial Services </w:t>
            </w:r>
            <w:proofErr w:type="spellStart"/>
            <w:r w:rsidRPr="005065B6">
              <w:rPr>
                <w:rFonts w:ascii="Times New Roman" w:eastAsia="Times New Roman" w:hAnsi="Times New Roman" w:cs="Times New Roman"/>
                <w:color w:val="000000"/>
                <w:sz w:val="24"/>
                <w:szCs w:val="24"/>
                <w:lang w:eastAsia="en-IN"/>
              </w:rPr>
              <w:t>Centers</w:t>
            </w:r>
            <w:proofErr w:type="spellEnd"/>
            <w:r w:rsidRPr="005065B6">
              <w:rPr>
                <w:rFonts w:ascii="Times New Roman" w:eastAsia="Times New Roman" w:hAnsi="Times New Roman" w:cs="Times New Roman"/>
                <w:color w:val="000000"/>
                <w:sz w:val="24"/>
                <w:szCs w:val="24"/>
                <w:lang w:eastAsia="en-IN"/>
              </w:rPr>
              <w:t xml:space="preserve"> (IFSCs) - Compliance with statutory/regulatory norms</w:t>
            </w:r>
          </w:p>
        </w:tc>
      </w:tr>
      <w:tr w:rsidR="005065B6" w:rsidRPr="005065B6" w:rsidTr="005004E7">
        <w:trPr>
          <w:trHeight w:val="765"/>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49</w:t>
            </w:r>
          </w:p>
        </w:tc>
        <w:tc>
          <w:tcPr>
            <w:tcW w:w="8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Revised Regulatory Framework for Urban Co-operative Banks (UCBs) – Net Worth and Capital Adequacy</w:t>
            </w:r>
          </w:p>
        </w:tc>
      </w:tr>
      <w:tr w:rsidR="005065B6" w:rsidRPr="005065B6" w:rsidTr="005004E7">
        <w:trPr>
          <w:trHeight w:val="577"/>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50</w:t>
            </w:r>
          </w:p>
        </w:tc>
        <w:tc>
          <w:tcPr>
            <w:tcW w:w="8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Review of SLR holdings in HTM category</w:t>
            </w:r>
          </w:p>
        </w:tc>
      </w:tr>
      <w:tr w:rsidR="005065B6" w:rsidRPr="005065B6" w:rsidTr="005004E7">
        <w:trPr>
          <w:trHeight w:val="51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51</w:t>
            </w:r>
          </w:p>
        </w:tc>
        <w:tc>
          <w:tcPr>
            <w:tcW w:w="8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Hedging of Gold Price Risk in Overseas Markets</w:t>
            </w:r>
          </w:p>
        </w:tc>
      </w:tr>
      <w:tr w:rsidR="005065B6" w:rsidRPr="005065B6" w:rsidTr="005004E7">
        <w:trPr>
          <w:trHeight w:val="102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52</w:t>
            </w:r>
          </w:p>
        </w:tc>
        <w:tc>
          <w:tcPr>
            <w:tcW w:w="8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Master Direction – Foreign Exchange Management (Hedging of Commodity Price Risk and Freight Risk in Overseas Markets) Directions, 2022</w:t>
            </w:r>
          </w:p>
        </w:tc>
      </w:tr>
      <w:tr w:rsidR="005065B6" w:rsidRPr="005065B6" w:rsidTr="005004E7">
        <w:trPr>
          <w:trHeight w:val="102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53</w:t>
            </w:r>
          </w:p>
        </w:tc>
        <w:tc>
          <w:tcPr>
            <w:tcW w:w="8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Data Format for Furnishing of Credit Information to Credit Information Companies and other Regulatory Measures</w:t>
            </w:r>
          </w:p>
        </w:tc>
      </w:tr>
      <w:tr w:rsidR="005065B6" w:rsidRPr="005065B6" w:rsidTr="005004E7">
        <w:trPr>
          <w:trHeight w:val="96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54</w:t>
            </w:r>
          </w:p>
        </w:tc>
        <w:tc>
          <w:tcPr>
            <w:tcW w:w="8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Reserve Bank of India (Financial Statements - Presentation and Disclosures) Directions, 2021 - Disclosure of material items</w:t>
            </w:r>
          </w:p>
        </w:tc>
      </w:tr>
      <w:tr w:rsidR="005065B6" w:rsidRPr="005065B6" w:rsidTr="005004E7">
        <w:trPr>
          <w:trHeight w:val="776"/>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55</w:t>
            </w:r>
          </w:p>
        </w:tc>
        <w:tc>
          <w:tcPr>
            <w:tcW w:w="8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Central Payments Fraud Information Registry – Migration of Reporting to DAKSH</w:t>
            </w:r>
          </w:p>
        </w:tc>
      </w:tr>
      <w:tr w:rsidR="005065B6" w:rsidRPr="005065B6" w:rsidTr="005004E7">
        <w:trPr>
          <w:trHeight w:val="90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56</w:t>
            </w:r>
          </w:p>
        </w:tc>
        <w:tc>
          <w:tcPr>
            <w:tcW w:w="8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Individual Housing loans – Revised limits under four-tiered regulatory framework</w:t>
            </w:r>
          </w:p>
        </w:tc>
      </w:tr>
    </w:tbl>
    <w:p w:rsidR="008C7A02" w:rsidRPr="00470480" w:rsidRDefault="008C7A02" w:rsidP="008C7A02">
      <w:pPr>
        <w:jc w:val="both"/>
        <w:rPr>
          <w:rFonts w:ascii="Arial" w:hAnsi="Arial" w:cs="Arial"/>
          <w:b/>
          <w:bCs/>
          <w:color w:val="000000"/>
          <w:sz w:val="20"/>
          <w:szCs w:val="20"/>
        </w:rPr>
      </w:pPr>
    </w:p>
    <w:p w:rsidR="006458AB" w:rsidRDefault="006458AB" w:rsidP="006458AB">
      <w:pPr>
        <w:rPr>
          <w:rFonts w:ascii="Arial" w:hAnsi="Arial" w:cs="Arial"/>
          <w:b/>
          <w:bCs/>
          <w:color w:val="000000"/>
          <w:sz w:val="20"/>
          <w:szCs w:val="20"/>
        </w:rPr>
      </w:pPr>
      <w:r>
        <w:rPr>
          <w:rFonts w:ascii="Arial" w:hAnsi="Arial" w:cs="Arial"/>
          <w:b/>
          <w:bCs/>
          <w:color w:val="000000"/>
          <w:sz w:val="20"/>
          <w:szCs w:val="20"/>
        </w:rPr>
        <w:lastRenderedPageBreak/>
        <w:t>Note Sorting Machines - Authentication and Fitness Sorting Parameters</w:t>
      </w:r>
    </w:p>
    <w:p w:rsidR="006458AB" w:rsidRDefault="006458AB" w:rsidP="006458AB">
      <w:pPr>
        <w:pStyle w:val="NormalWeb"/>
        <w:rPr>
          <w:rFonts w:ascii="Arial" w:hAnsi="Arial" w:cs="Arial"/>
          <w:color w:val="000000"/>
          <w:sz w:val="20"/>
          <w:szCs w:val="20"/>
        </w:rPr>
      </w:pPr>
      <w:r>
        <w:rPr>
          <w:rFonts w:ascii="Arial" w:hAnsi="Arial" w:cs="Arial"/>
          <w:color w:val="000000"/>
          <w:sz w:val="20"/>
          <w:szCs w:val="20"/>
        </w:rPr>
        <w:t>RBI/2022-23/79</w:t>
      </w:r>
      <w:r>
        <w:rPr>
          <w:rFonts w:ascii="Arial" w:hAnsi="Arial" w:cs="Arial"/>
          <w:color w:val="000000"/>
          <w:sz w:val="20"/>
          <w:szCs w:val="20"/>
        </w:rPr>
        <w:br/>
        <w:t>DCM(NPD)No.S488/18.00.14/2022-23</w:t>
      </w:r>
    </w:p>
    <w:p w:rsidR="006458AB" w:rsidRDefault="006458AB" w:rsidP="006458AB">
      <w:pPr>
        <w:pStyle w:val="NormalWeb"/>
        <w:jc w:val="right"/>
        <w:rPr>
          <w:rFonts w:ascii="Arial" w:hAnsi="Arial" w:cs="Arial"/>
          <w:color w:val="000000"/>
          <w:sz w:val="20"/>
          <w:szCs w:val="20"/>
        </w:rPr>
      </w:pPr>
      <w:r>
        <w:rPr>
          <w:rFonts w:ascii="Arial" w:hAnsi="Arial" w:cs="Arial"/>
          <w:color w:val="000000"/>
          <w:sz w:val="20"/>
          <w:szCs w:val="20"/>
        </w:rPr>
        <w:t>July 1, 2022</w:t>
      </w:r>
    </w:p>
    <w:p w:rsidR="006458AB" w:rsidRDefault="006458AB" w:rsidP="006458AB">
      <w:pPr>
        <w:pStyle w:val="NormalWeb"/>
        <w:rPr>
          <w:rFonts w:ascii="Arial" w:hAnsi="Arial" w:cs="Arial"/>
          <w:color w:val="000000"/>
          <w:sz w:val="20"/>
          <w:szCs w:val="20"/>
        </w:rPr>
      </w:pPr>
      <w:r>
        <w:rPr>
          <w:rFonts w:ascii="Arial" w:hAnsi="Arial" w:cs="Arial"/>
          <w:color w:val="000000"/>
          <w:sz w:val="20"/>
          <w:szCs w:val="20"/>
        </w:rPr>
        <w:t>The Chairman/ Managing Director/ Chief Executive Officers</w:t>
      </w:r>
      <w:r>
        <w:rPr>
          <w:rFonts w:ascii="Arial" w:hAnsi="Arial" w:cs="Arial"/>
          <w:color w:val="000000"/>
          <w:sz w:val="20"/>
          <w:szCs w:val="20"/>
        </w:rPr>
        <w:br/>
        <w:t>All Banks</w:t>
      </w:r>
    </w:p>
    <w:p w:rsidR="006458AB" w:rsidRDefault="006458AB" w:rsidP="006458AB">
      <w:pPr>
        <w:pStyle w:val="NormalWeb"/>
        <w:rPr>
          <w:rFonts w:ascii="Arial" w:hAnsi="Arial" w:cs="Arial"/>
          <w:color w:val="000000"/>
          <w:sz w:val="20"/>
          <w:szCs w:val="20"/>
        </w:rPr>
      </w:pPr>
      <w:r>
        <w:rPr>
          <w:rFonts w:ascii="Arial" w:hAnsi="Arial" w:cs="Arial"/>
          <w:color w:val="000000"/>
          <w:sz w:val="20"/>
          <w:szCs w:val="20"/>
        </w:rPr>
        <w:t>Dear Sir/Madam</w:t>
      </w:r>
    </w:p>
    <w:p w:rsidR="006458AB" w:rsidRDefault="006458AB" w:rsidP="006458AB">
      <w:pPr>
        <w:pStyle w:val="head"/>
        <w:rPr>
          <w:rFonts w:ascii="Arial" w:hAnsi="Arial" w:cs="Arial"/>
          <w:b/>
          <w:bCs/>
          <w:color w:val="000000"/>
          <w:sz w:val="20"/>
          <w:szCs w:val="20"/>
        </w:rPr>
      </w:pPr>
      <w:r>
        <w:rPr>
          <w:rFonts w:ascii="Arial" w:hAnsi="Arial" w:cs="Arial"/>
          <w:b/>
          <w:bCs/>
          <w:color w:val="000000"/>
          <w:sz w:val="20"/>
          <w:szCs w:val="20"/>
        </w:rPr>
        <w:t>Note Sorting Machines - Authentication and Fitness Sorting Parameters</w:t>
      </w:r>
    </w:p>
    <w:p w:rsidR="006458AB" w:rsidRDefault="006458AB" w:rsidP="006458AB">
      <w:pPr>
        <w:pStyle w:val="NormalWeb"/>
        <w:rPr>
          <w:rFonts w:ascii="Arial" w:hAnsi="Arial" w:cs="Arial"/>
          <w:color w:val="000000"/>
          <w:sz w:val="20"/>
          <w:szCs w:val="20"/>
        </w:rPr>
      </w:pPr>
      <w:r>
        <w:rPr>
          <w:rFonts w:ascii="Arial" w:hAnsi="Arial" w:cs="Arial"/>
          <w:color w:val="000000"/>
          <w:sz w:val="20"/>
          <w:szCs w:val="20"/>
        </w:rPr>
        <w:t>Please refer to our </w:t>
      </w:r>
      <w:hyperlink r:id="rId5" w:tgtFrame="_blank" w:history="1">
        <w:r>
          <w:rPr>
            <w:rStyle w:val="Hyperlink"/>
            <w:rFonts w:ascii="Arial" w:hAnsi="Arial" w:cs="Arial"/>
            <w:sz w:val="20"/>
            <w:szCs w:val="20"/>
          </w:rPr>
          <w:t>circular DCM(R&amp;D)No.G-26/18.00.14/2009-10 dated May 11, 2010</w:t>
        </w:r>
      </w:hyperlink>
      <w:r>
        <w:rPr>
          <w:rFonts w:ascii="Arial" w:hAnsi="Arial" w:cs="Arial"/>
          <w:color w:val="000000"/>
          <w:sz w:val="20"/>
          <w:szCs w:val="20"/>
        </w:rPr>
        <w:t> setting out ''Note Authentication and Fitness Sorting Parameters'' for the Note Sorting Machines installed in the banks.</w:t>
      </w:r>
    </w:p>
    <w:p w:rsidR="006458AB" w:rsidRDefault="006458AB" w:rsidP="006458AB">
      <w:pPr>
        <w:pStyle w:val="NormalWeb"/>
        <w:rPr>
          <w:rFonts w:ascii="Arial" w:hAnsi="Arial" w:cs="Arial"/>
          <w:color w:val="000000"/>
          <w:sz w:val="20"/>
          <w:szCs w:val="20"/>
        </w:rPr>
      </w:pPr>
      <w:r>
        <w:rPr>
          <w:rFonts w:ascii="Arial" w:hAnsi="Arial" w:cs="Arial"/>
          <w:color w:val="000000"/>
          <w:sz w:val="20"/>
          <w:szCs w:val="20"/>
        </w:rPr>
        <w:t>2. In the backdrop of introduction of the new series banknotes, these parameters have been reviewed and a revised set of guidelines are </w:t>
      </w:r>
      <w:hyperlink r:id="rId6" w:anchor="GL" w:history="1">
        <w:r>
          <w:rPr>
            <w:rStyle w:val="Hyperlink"/>
            <w:rFonts w:ascii="Arial" w:hAnsi="Arial" w:cs="Arial"/>
            <w:sz w:val="20"/>
            <w:szCs w:val="20"/>
          </w:rPr>
          <w:t>enclosed</w:t>
        </w:r>
      </w:hyperlink>
      <w:r>
        <w:rPr>
          <w:rFonts w:ascii="Arial" w:hAnsi="Arial" w:cs="Arial"/>
          <w:color w:val="000000"/>
          <w:sz w:val="20"/>
          <w:szCs w:val="20"/>
        </w:rPr>
        <w:t> for implementation.</w:t>
      </w:r>
    </w:p>
    <w:p w:rsidR="006458AB" w:rsidRDefault="006458AB" w:rsidP="006458AB">
      <w:pPr>
        <w:pStyle w:val="NormalWeb"/>
        <w:rPr>
          <w:rFonts w:ascii="Arial" w:hAnsi="Arial" w:cs="Arial"/>
          <w:color w:val="000000"/>
          <w:sz w:val="20"/>
          <w:szCs w:val="20"/>
        </w:rPr>
      </w:pPr>
      <w:r>
        <w:rPr>
          <w:rFonts w:ascii="Arial" w:hAnsi="Arial" w:cs="Arial"/>
          <w:color w:val="000000"/>
          <w:sz w:val="20"/>
          <w:szCs w:val="20"/>
        </w:rPr>
        <w:t>3. The guidelines shall be implemented with immediate effect.</w:t>
      </w:r>
    </w:p>
    <w:p w:rsidR="006458AB" w:rsidRDefault="006458AB" w:rsidP="006458AB">
      <w:pPr>
        <w:pStyle w:val="NormalWeb"/>
        <w:rPr>
          <w:rFonts w:ascii="Arial" w:hAnsi="Arial" w:cs="Arial"/>
          <w:color w:val="000000"/>
          <w:sz w:val="20"/>
          <w:szCs w:val="20"/>
        </w:rPr>
      </w:pPr>
      <w:r>
        <w:rPr>
          <w:rFonts w:ascii="Arial" w:hAnsi="Arial" w:cs="Arial"/>
          <w:color w:val="000000"/>
          <w:sz w:val="20"/>
          <w:szCs w:val="20"/>
        </w:rPr>
        <w:t>Yours faithfully</w:t>
      </w:r>
    </w:p>
    <w:p w:rsidR="006458AB" w:rsidRDefault="006458AB" w:rsidP="006458AB">
      <w:pPr>
        <w:pStyle w:val="NormalWeb"/>
        <w:rPr>
          <w:rFonts w:ascii="Arial" w:hAnsi="Arial" w:cs="Arial"/>
          <w:color w:val="000000"/>
          <w:sz w:val="20"/>
          <w:szCs w:val="20"/>
        </w:rPr>
      </w:pPr>
      <w:r>
        <w:rPr>
          <w:rFonts w:ascii="Arial" w:hAnsi="Arial" w:cs="Arial"/>
          <w:color w:val="000000"/>
          <w:sz w:val="20"/>
          <w:szCs w:val="20"/>
        </w:rPr>
        <w:t>(Sanjeev Prakash)</w:t>
      </w:r>
      <w:r>
        <w:rPr>
          <w:rFonts w:ascii="Arial" w:hAnsi="Arial" w:cs="Arial"/>
          <w:color w:val="000000"/>
          <w:sz w:val="20"/>
          <w:szCs w:val="20"/>
        </w:rPr>
        <w:br/>
        <w:t>Chief General Manager</w:t>
      </w:r>
    </w:p>
    <w:p w:rsidR="006458AB" w:rsidRDefault="006458AB" w:rsidP="006458AB">
      <w:pPr>
        <w:rPr>
          <w:rFonts w:ascii="Arial" w:hAnsi="Arial" w:cs="Arial"/>
          <w:sz w:val="20"/>
          <w:szCs w:val="20"/>
        </w:rPr>
      </w:pPr>
    </w:p>
    <w:p w:rsidR="006458AB" w:rsidRDefault="006458AB" w:rsidP="006458AB">
      <w:pPr>
        <w:rPr>
          <w:rFonts w:ascii="Arial" w:hAnsi="Arial" w:cs="Arial"/>
          <w:sz w:val="20"/>
          <w:szCs w:val="20"/>
        </w:rPr>
      </w:pPr>
    </w:p>
    <w:p w:rsidR="006458AB" w:rsidRDefault="006458AB" w:rsidP="006458AB">
      <w:pPr>
        <w:rPr>
          <w:rFonts w:ascii="Arial" w:hAnsi="Arial" w:cs="Arial"/>
          <w:sz w:val="20"/>
          <w:szCs w:val="20"/>
        </w:rPr>
      </w:pPr>
    </w:p>
    <w:p w:rsidR="006458AB" w:rsidRDefault="006458AB" w:rsidP="006458AB">
      <w:r>
        <w:t>More details can be referred to in the below link.</w:t>
      </w:r>
    </w:p>
    <w:p w:rsidR="006458AB" w:rsidRDefault="006458AB" w:rsidP="006458AB">
      <w:pPr>
        <w:rPr>
          <w:rFonts w:ascii="Arial" w:hAnsi="Arial" w:cs="Arial"/>
          <w:bCs/>
          <w:color w:val="000000"/>
          <w:sz w:val="20"/>
          <w:szCs w:val="20"/>
        </w:rPr>
      </w:pPr>
      <w:r>
        <w:rPr>
          <w:rFonts w:ascii="Arial" w:hAnsi="Arial" w:cs="Arial"/>
          <w:bCs/>
          <w:color w:val="000000"/>
          <w:sz w:val="20"/>
          <w:szCs w:val="20"/>
        </w:rPr>
        <w:t xml:space="preserve">Reference Link: </w:t>
      </w:r>
      <w:hyperlink r:id="rId7" w:history="1">
        <w:r w:rsidRPr="006865D6">
          <w:rPr>
            <w:rStyle w:val="Hyperlink"/>
            <w:rFonts w:ascii="Arial" w:hAnsi="Arial" w:cs="Arial"/>
            <w:bCs/>
            <w:sz w:val="20"/>
            <w:szCs w:val="20"/>
          </w:rPr>
          <w:t>https://www.rbi.org.in/Scripts/NotificationUser.aspx?Id=12347&amp;Mode=0</w:t>
        </w:r>
      </w:hyperlink>
    </w:p>
    <w:p w:rsidR="00E653FA" w:rsidRDefault="00E653FA" w:rsidP="008C7A02">
      <w:pPr>
        <w:jc w:val="both"/>
        <w:rPr>
          <w:rFonts w:ascii="Arial" w:hAnsi="Arial" w:cs="Arial"/>
          <w:b/>
          <w:bCs/>
          <w:color w:val="000000"/>
          <w:sz w:val="20"/>
          <w:szCs w:val="20"/>
        </w:rPr>
      </w:pPr>
    </w:p>
    <w:p w:rsidR="006458AB" w:rsidRDefault="006458AB" w:rsidP="008C7A02">
      <w:pPr>
        <w:jc w:val="both"/>
        <w:rPr>
          <w:rFonts w:ascii="Arial" w:hAnsi="Arial" w:cs="Arial"/>
          <w:b/>
          <w:bCs/>
          <w:color w:val="000000"/>
          <w:sz w:val="20"/>
          <w:szCs w:val="20"/>
        </w:rPr>
      </w:pPr>
    </w:p>
    <w:p w:rsidR="006458AB" w:rsidRDefault="006458AB" w:rsidP="008C7A02">
      <w:pPr>
        <w:jc w:val="both"/>
        <w:rPr>
          <w:rFonts w:ascii="Arial" w:hAnsi="Arial" w:cs="Arial"/>
          <w:b/>
          <w:bCs/>
          <w:color w:val="000000"/>
          <w:sz w:val="20"/>
          <w:szCs w:val="20"/>
        </w:rPr>
      </w:pPr>
    </w:p>
    <w:p w:rsidR="006458AB" w:rsidRDefault="006458AB" w:rsidP="008C7A02">
      <w:pPr>
        <w:jc w:val="both"/>
        <w:rPr>
          <w:rFonts w:ascii="Arial" w:hAnsi="Arial" w:cs="Arial"/>
          <w:b/>
          <w:bCs/>
          <w:color w:val="000000"/>
          <w:sz w:val="20"/>
          <w:szCs w:val="20"/>
        </w:rPr>
      </w:pPr>
    </w:p>
    <w:p w:rsidR="006458AB" w:rsidRDefault="006458AB" w:rsidP="008C7A02">
      <w:pPr>
        <w:jc w:val="both"/>
        <w:rPr>
          <w:rFonts w:ascii="Arial" w:hAnsi="Arial" w:cs="Arial"/>
          <w:b/>
          <w:bCs/>
          <w:color w:val="000000"/>
          <w:sz w:val="20"/>
          <w:szCs w:val="20"/>
        </w:rPr>
      </w:pPr>
    </w:p>
    <w:p w:rsidR="006458AB" w:rsidRDefault="006458AB" w:rsidP="008C7A02">
      <w:pPr>
        <w:jc w:val="both"/>
        <w:rPr>
          <w:rFonts w:ascii="Arial" w:hAnsi="Arial" w:cs="Arial"/>
          <w:b/>
          <w:bCs/>
          <w:color w:val="000000"/>
          <w:sz w:val="20"/>
          <w:szCs w:val="20"/>
        </w:rPr>
      </w:pPr>
    </w:p>
    <w:p w:rsidR="006458AB" w:rsidRDefault="006458AB" w:rsidP="008C7A02">
      <w:pPr>
        <w:jc w:val="both"/>
        <w:rPr>
          <w:rFonts w:ascii="Arial" w:hAnsi="Arial" w:cs="Arial"/>
          <w:b/>
          <w:bCs/>
          <w:color w:val="000000"/>
          <w:sz w:val="20"/>
          <w:szCs w:val="20"/>
        </w:rPr>
      </w:pPr>
    </w:p>
    <w:p w:rsidR="006458AB" w:rsidRDefault="006458AB" w:rsidP="008C7A02">
      <w:pPr>
        <w:jc w:val="both"/>
        <w:rPr>
          <w:rFonts w:ascii="Arial" w:hAnsi="Arial" w:cs="Arial"/>
          <w:b/>
          <w:bCs/>
          <w:color w:val="000000"/>
          <w:sz w:val="20"/>
          <w:szCs w:val="20"/>
        </w:rPr>
      </w:pPr>
    </w:p>
    <w:p w:rsidR="006458AB" w:rsidRDefault="006458AB" w:rsidP="008C7A02">
      <w:pPr>
        <w:jc w:val="both"/>
        <w:rPr>
          <w:rFonts w:ascii="Arial" w:hAnsi="Arial" w:cs="Arial"/>
          <w:b/>
          <w:bCs/>
          <w:color w:val="000000"/>
          <w:sz w:val="20"/>
          <w:szCs w:val="20"/>
        </w:rPr>
      </w:pPr>
    </w:p>
    <w:p w:rsidR="006458AB" w:rsidRDefault="006458AB" w:rsidP="008C7A02">
      <w:pPr>
        <w:jc w:val="both"/>
        <w:rPr>
          <w:rFonts w:ascii="Arial" w:hAnsi="Arial" w:cs="Arial"/>
          <w:b/>
          <w:bCs/>
          <w:color w:val="000000"/>
          <w:sz w:val="20"/>
          <w:szCs w:val="20"/>
        </w:rPr>
      </w:pPr>
    </w:p>
    <w:p w:rsidR="006458AB" w:rsidRDefault="006458AB" w:rsidP="008C7A02">
      <w:pPr>
        <w:jc w:val="both"/>
        <w:rPr>
          <w:rFonts w:ascii="Arial" w:hAnsi="Arial" w:cs="Arial"/>
          <w:b/>
          <w:bCs/>
          <w:color w:val="000000"/>
          <w:sz w:val="20"/>
          <w:szCs w:val="20"/>
        </w:rPr>
      </w:pPr>
    </w:p>
    <w:p w:rsidR="006458AB" w:rsidRDefault="006458AB" w:rsidP="008C7A02">
      <w:pPr>
        <w:jc w:val="both"/>
        <w:rPr>
          <w:rFonts w:ascii="Arial" w:hAnsi="Arial" w:cs="Arial"/>
          <w:b/>
          <w:bCs/>
          <w:color w:val="000000"/>
          <w:sz w:val="20"/>
          <w:szCs w:val="20"/>
        </w:rPr>
      </w:pPr>
    </w:p>
    <w:p w:rsidR="006458AB" w:rsidRDefault="006458AB" w:rsidP="006458AB">
      <w:pPr>
        <w:rPr>
          <w:rFonts w:ascii="Arial" w:hAnsi="Arial" w:cs="Arial"/>
          <w:b/>
          <w:bCs/>
          <w:color w:val="000000"/>
          <w:sz w:val="20"/>
          <w:szCs w:val="20"/>
        </w:rPr>
      </w:pPr>
      <w:r>
        <w:rPr>
          <w:rFonts w:ascii="Arial" w:hAnsi="Arial" w:cs="Arial"/>
          <w:b/>
          <w:bCs/>
          <w:color w:val="000000"/>
          <w:sz w:val="20"/>
          <w:szCs w:val="20"/>
        </w:rPr>
        <w:lastRenderedPageBreak/>
        <w:t>Requirement for obtaining prior approval in case of takeover / acquisition of control of non-bank PSOs and sale / transfer of payment system activity of non-bank PSO</w:t>
      </w:r>
    </w:p>
    <w:p w:rsidR="006458AB" w:rsidRDefault="006458AB" w:rsidP="006458AB">
      <w:pPr>
        <w:pStyle w:val="NormalWeb"/>
        <w:rPr>
          <w:rFonts w:ascii="Arial" w:hAnsi="Arial" w:cs="Arial"/>
          <w:color w:val="000000"/>
          <w:sz w:val="20"/>
          <w:szCs w:val="20"/>
        </w:rPr>
      </w:pPr>
      <w:r>
        <w:rPr>
          <w:rFonts w:ascii="Arial" w:hAnsi="Arial" w:cs="Arial"/>
          <w:color w:val="000000"/>
          <w:sz w:val="20"/>
          <w:szCs w:val="20"/>
        </w:rPr>
        <w:t>RBI/2022-23/80</w:t>
      </w:r>
      <w:r>
        <w:rPr>
          <w:rFonts w:ascii="Arial" w:hAnsi="Arial" w:cs="Arial"/>
          <w:color w:val="000000"/>
          <w:sz w:val="20"/>
          <w:szCs w:val="20"/>
        </w:rPr>
        <w:br/>
        <w:t>CO.DPSS.POLC.No.S-590/02-14-006/2022-23</w:t>
      </w:r>
    </w:p>
    <w:p w:rsidR="006458AB" w:rsidRDefault="006458AB" w:rsidP="006458AB">
      <w:pPr>
        <w:pStyle w:val="NormalWeb"/>
        <w:jc w:val="right"/>
        <w:rPr>
          <w:rFonts w:ascii="Arial" w:hAnsi="Arial" w:cs="Arial"/>
          <w:color w:val="000000"/>
          <w:sz w:val="20"/>
          <w:szCs w:val="20"/>
        </w:rPr>
      </w:pPr>
      <w:r>
        <w:rPr>
          <w:rFonts w:ascii="Arial" w:hAnsi="Arial" w:cs="Arial"/>
          <w:color w:val="000000"/>
          <w:sz w:val="20"/>
          <w:szCs w:val="20"/>
        </w:rPr>
        <w:t>July 04, 2022</w:t>
      </w:r>
    </w:p>
    <w:p w:rsidR="006458AB" w:rsidRDefault="006458AB" w:rsidP="006458AB">
      <w:pPr>
        <w:pStyle w:val="NormalWeb"/>
        <w:rPr>
          <w:rFonts w:ascii="Arial" w:hAnsi="Arial" w:cs="Arial"/>
          <w:color w:val="000000"/>
          <w:sz w:val="20"/>
          <w:szCs w:val="20"/>
        </w:rPr>
      </w:pPr>
      <w:r>
        <w:rPr>
          <w:rFonts w:ascii="Arial" w:hAnsi="Arial" w:cs="Arial"/>
          <w:color w:val="000000"/>
          <w:sz w:val="20"/>
          <w:szCs w:val="20"/>
        </w:rPr>
        <w:t>The Chairman / Managing Director / Chief Executive Officer</w:t>
      </w:r>
      <w:r>
        <w:rPr>
          <w:rFonts w:ascii="Arial" w:hAnsi="Arial" w:cs="Arial"/>
          <w:color w:val="000000"/>
          <w:sz w:val="20"/>
          <w:szCs w:val="20"/>
        </w:rPr>
        <w:br/>
        <w:t>Bank and Non-bank Payment System Operators (PSOs)</w:t>
      </w:r>
    </w:p>
    <w:p w:rsidR="006458AB" w:rsidRDefault="006458AB" w:rsidP="006458AB">
      <w:pPr>
        <w:pStyle w:val="NormalWeb"/>
        <w:rPr>
          <w:rFonts w:ascii="Arial" w:hAnsi="Arial" w:cs="Arial"/>
          <w:color w:val="000000"/>
          <w:sz w:val="20"/>
          <w:szCs w:val="20"/>
        </w:rPr>
      </w:pPr>
      <w:r>
        <w:rPr>
          <w:rFonts w:ascii="Arial" w:hAnsi="Arial" w:cs="Arial"/>
          <w:color w:val="000000"/>
          <w:sz w:val="20"/>
          <w:szCs w:val="20"/>
        </w:rPr>
        <w:t>Madam / Dear Sir,</w:t>
      </w:r>
    </w:p>
    <w:p w:rsidR="006458AB" w:rsidRDefault="006458AB" w:rsidP="006458AB">
      <w:pPr>
        <w:pStyle w:val="head"/>
        <w:rPr>
          <w:rFonts w:ascii="Arial" w:hAnsi="Arial" w:cs="Arial"/>
          <w:b/>
          <w:bCs/>
          <w:color w:val="000000"/>
          <w:sz w:val="20"/>
          <w:szCs w:val="20"/>
        </w:rPr>
      </w:pPr>
      <w:r>
        <w:rPr>
          <w:rFonts w:ascii="Arial" w:hAnsi="Arial" w:cs="Arial"/>
          <w:b/>
          <w:bCs/>
          <w:color w:val="000000"/>
          <w:sz w:val="20"/>
          <w:szCs w:val="20"/>
        </w:rPr>
        <w:t>Requirement for obtaining prior approval in case of takeover / acquisition of control of non-bank PSOs and sale / transfer of payment system activity of non-bank PSO</w:t>
      </w:r>
    </w:p>
    <w:p w:rsidR="006458AB" w:rsidRDefault="006458AB" w:rsidP="006458AB">
      <w:pPr>
        <w:pStyle w:val="NormalWeb"/>
        <w:rPr>
          <w:rFonts w:ascii="Arial" w:hAnsi="Arial" w:cs="Arial"/>
          <w:color w:val="000000"/>
          <w:sz w:val="20"/>
          <w:szCs w:val="20"/>
        </w:rPr>
      </w:pPr>
      <w:r>
        <w:rPr>
          <w:rFonts w:ascii="Arial" w:hAnsi="Arial" w:cs="Arial"/>
          <w:color w:val="000000"/>
          <w:sz w:val="20"/>
          <w:szCs w:val="20"/>
        </w:rPr>
        <w:t>A reference is invited to Reserve Bank of India (RBI) instructions contained in paragraph 5.10 of </w:t>
      </w:r>
      <w:hyperlink r:id="rId8" w:tgtFrame="_blank" w:history="1">
        <w:r>
          <w:rPr>
            <w:rStyle w:val="Hyperlink"/>
            <w:rFonts w:ascii="Arial" w:hAnsi="Arial" w:cs="Arial"/>
            <w:sz w:val="20"/>
            <w:szCs w:val="20"/>
          </w:rPr>
          <w:t>Master Directions on Prepaid Payment Instruments dated August 27, 2021</w:t>
        </w:r>
      </w:hyperlink>
      <w:r>
        <w:rPr>
          <w:rFonts w:ascii="Arial" w:hAnsi="Arial" w:cs="Arial"/>
          <w:color w:val="000000"/>
          <w:sz w:val="20"/>
          <w:szCs w:val="20"/>
        </w:rPr>
        <w:t>, paragraph 5.2 of </w:t>
      </w:r>
      <w:hyperlink r:id="rId9" w:tgtFrame="_blank" w:history="1">
        <w:r>
          <w:rPr>
            <w:rStyle w:val="Hyperlink"/>
            <w:rFonts w:ascii="Arial" w:hAnsi="Arial" w:cs="Arial"/>
            <w:sz w:val="20"/>
            <w:szCs w:val="20"/>
          </w:rPr>
          <w:t>Guidelines on Regulation of Payment Aggregators and Payment Gateways dated March 17, 2020</w:t>
        </w:r>
      </w:hyperlink>
      <w:r>
        <w:rPr>
          <w:rFonts w:ascii="Arial" w:hAnsi="Arial" w:cs="Arial"/>
          <w:color w:val="000000"/>
          <w:sz w:val="20"/>
          <w:szCs w:val="20"/>
        </w:rPr>
        <w:t> and paragraph 3.1 of Annex-A to </w:t>
      </w:r>
      <w:hyperlink r:id="rId10" w:tgtFrame="_blank" w:history="1">
        <w:r>
          <w:rPr>
            <w:rStyle w:val="Hyperlink"/>
            <w:rFonts w:ascii="Arial" w:hAnsi="Arial" w:cs="Arial"/>
            <w:sz w:val="20"/>
            <w:szCs w:val="20"/>
          </w:rPr>
          <w:t>White Label ATM Guidelines dated June 20, 2012</w:t>
        </w:r>
      </w:hyperlink>
      <w:r>
        <w:rPr>
          <w:rFonts w:ascii="Arial" w:hAnsi="Arial" w:cs="Arial"/>
          <w:color w:val="000000"/>
          <w:sz w:val="20"/>
          <w:szCs w:val="20"/>
        </w:rPr>
        <w:t>.</w:t>
      </w:r>
    </w:p>
    <w:p w:rsidR="006458AB" w:rsidRDefault="006458AB" w:rsidP="006458AB">
      <w:pPr>
        <w:pStyle w:val="NormalWeb"/>
        <w:rPr>
          <w:rFonts w:ascii="Arial" w:hAnsi="Arial" w:cs="Arial"/>
          <w:color w:val="000000"/>
          <w:sz w:val="20"/>
          <w:szCs w:val="20"/>
        </w:rPr>
      </w:pPr>
      <w:r>
        <w:rPr>
          <w:rFonts w:ascii="Arial" w:hAnsi="Arial" w:cs="Arial"/>
          <w:color w:val="000000"/>
          <w:sz w:val="20"/>
          <w:szCs w:val="20"/>
        </w:rPr>
        <w:t>2. The operations of non-bank PSOs (authorised to operate any Payment System) have been reviewed and they shall require prior approval of RBI in the following cases –</w:t>
      </w:r>
    </w:p>
    <w:p w:rsidR="006458AB" w:rsidRDefault="006458AB" w:rsidP="00DA1141">
      <w:pPr>
        <w:pStyle w:val="NormalWeb"/>
        <w:numPr>
          <w:ilvl w:val="0"/>
          <w:numId w:val="1"/>
        </w:numPr>
        <w:ind w:left="0"/>
        <w:rPr>
          <w:rFonts w:ascii="Arial" w:hAnsi="Arial" w:cs="Arial"/>
          <w:color w:val="000000"/>
          <w:sz w:val="20"/>
          <w:szCs w:val="20"/>
        </w:rPr>
      </w:pPr>
      <w:r>
        <w:rPr>
          <w:rFonts w:ascii="Arial" w:hAnsi="Arial" w:cs="Arial"/>
          <w:color w:val="000000"/>
          <w:sz w:val="20"/>
          <w:szCs w:val="20"/>
        </w:rPr>
        <w:t>Takeover / Acquisition of control, which may / may not result in change of management.</w:t>
      </w:r>
    </w:p>
    <w:p w:rsidR="006458AB" w:rsidRDefault="006458AB" w:rsidP="00DA1141">
      <w:pPr>
        <w:pStyle w:val="NormalWeb"/>
        <w:numPr>
          <w:ilvl w:val="0"/>
          <w:numId w:val="1"/>
        </w:numPr>
        <w:ind w:left="0"/>
        <w:rPr>
          <w:rFonts w:ascii="Arial" w:hAnsi="Arial" w:cs="Arial"/>
          <w:color w:val="000000"/>
          <w:sz w:val="20"/>
          <w:szCs w:val="20"/>
        </w:rPr>
      </w:pPr>
      <w:r>
        <w:rPr>
          <w:rFonts w:ascii="Arial" w:hAnsi="Arial" w:cs="Arial"/>
          <w:color w:val="000000"/>
          <w:sz w:val="20"/>
          <w:szCs w:val="20"/>
        </w:rPr>
        <w:t>Sale / Transfer of payment activity to an entity not authorised for undertaking similar activity.</w:t>
      </w:r>
    </w:p>
    <w:p w:rsidR="006458AB" w:rsidRDefault="006458AB" w:rsidP="006458AB">
      <w:pPr>
        <w:pStyle w:val="NormalWeb"/>
        <w:rPr>
          <w:rFonts w:ascii="Arial" w:hAnsi="Arial" w:cs="Arial"/>
          <w:color w:val="000000"/>
          <w:sz w:val="20"/>
          <w:szCs w:val="20"/>
        </w:rPr>
      </w:pPr>
      <w:r>
        <w:rPr>
          <w:rFonts w:ascii="Arial" w:hAnsi="Arial" w:cs="Arial"/>
          <w:color w:val="000000"/>
          <w:sz w:val="20"/>
          <w:szCs w:val="20"/>
        </w:rPr>
        <w:t>3. The non-bank PSOs shall inform RBI within 15 calendar days in the following cases –</w:t>
      </w:r>
    </w:p>
    <w:p w:rsidR="006458AB" w:rsidRDefault="006458AB" w:rsidP="00DA1141">
      <w:pPr>
        <w:pStyle w:val="NormalWeb"/>
        <w:numPr>
          <w:ilvl w:val="0"/>
          <w:numId w:val="2"/>
        </w:numPr>
        <w:ind w:left="0"/>
        <w:rPr>
          <w:rFonts w:ascii="Arial" w:hAnsi="Arial" w:cs="Arial"/>
          <w:color w:val="000000"/>
          <w:sz w:val="20"/>
          <w:szCs w:val="20"/>
        </w:rPr>
      </w:pPr>
      <w:r>
        <w:rPr>
          <w:rFonts w:ascii="Arial" w:hAnsi="Arial" w:cs="Arial"/>
          <w:color w:val="000000"/>
          <w:sz w:val="20"/>
          <w:szCs w:val="20"/>
        </w:rPr>
        <w:t>Change in management / directors.</w:t>
      </w:r>
    </w:p>
    <w:p w:rsidR="006458AB" w:rsidRDefault="006458AB" w:rsidP="00DA1141">
      <w:pPr>
        <w:pStyle w:val="NormalWeb"/>
        <w:numPr>
          <w:ilvl w:val="0"/>
          <w:numId w:val="2"/>
        </w:numPr>
        <w:ind w:left="0"/>
        <w:rPr>
          <w:rFonts w:ascii="Arial" w:hAnsi="Arial" w:cs="Arial"/>
          <w:color w:val="000000"/>
          <w:sz w:val="20"/>
          <w:szCs w:val="20"/>
        </w:rPr>
      </w:pPr>
      <w:r>
        <w:rPr>
          <w:rFonts w:ascii="Arial" w:hAnsi="Arial" w:cs="Arial"/>
          <w:color w:val="000000"/>
          <w:sz w:val="20"/>
          <w:szCs w:val="20"/>
        </w:rPr>
        <w:t>Sale / Transfer of payment activity to an entity authorised for undertaking similar activity.</w:t>
      </w:r>
    </w:p>
    <w:p w:rsidR="006458AB" w:rsidRDefault="006458AB" w:rsidP="006458AB">
      <w:pPr>
        <w:pStyle w:val="NormalWeb"/>
        <w:rPr>
          <w:rFonts w:ascii="Arial" w:hAnsi="Arial" w:cs="Arial"/>
          <w:color w:val="000000"/>
          <w:sz w:val="20"/>
          <w:szCs w:val="20"/>
        </w:rPr>
      </w:pPr>
      <w:r>
        <w:rPr>
          <w:rFonts w:ascii="Arial" w:hAnsi="Arial" w:cs="Arial"/>
          <w:color w:val="000000"/>
          <w:sz w:val="20"/>
          <w:szCs w:val="20"/>
        </w:rPr>
        <w:t>4. Details of the requirements are given in </w:t>
      </w:r>
      <w:hyperlink r:id="rId11" w:anchor="AN1" w:history="1">
        <w:r>
          <w:rPr>
            <w:rStyle w:val="Hyperlink"/>
            <w:rFonts w:ascii="Arial" w:hAnsi="Arial" w:cs="Arial"/>
            <w:sz w:val="20"/>
            <w:szCs w:val="20"/>
          </w:rPr>
          <w:t>Annex-1</w:t>
        </w:r>
      </w:hyperlink>
      <w:r>
        <w:rPr>
          <w:rFonts w:ascii="Arial" w:hAnsi="Arial" w:cs="Arial"/>
          <w:color w:val="000000"/>
          <w:sz w:val="20"/>
          <w:szCs w:val="20"/>
        </w:rPr>
        <w:t>.</w:t>
      </w:r>
    </w:p>
    <w:p w:rsidR="006458AB" w:rsidRDefault="006458AB" w:rsidP="006458AB">
      <w:pPr>
        <w:pStyle w:val="NormalWeb"/>
        <w:rPr>
          <w:rFonts w:ascii="Arial" w:hAnsi="Arial" w:cs="Arial"/>
          <w:color w:val="000000"/>
          <w:sz w:val="20"/>
          <w:szCs w:val="20"/>
        </w:rPr>
      </w:pPr>
      <w:r>
        <w:rPr>
          <w:rFonts w:ascii="Arial" w:hAnsi="Arial" w:cs="Arial"/>
          <w:color w:val="000000"/>
          <w:sz w:val="20"/>
          <w:szCs w:val="20"/>
        </w:rPr>
        <w:t>5. This directive is issued under Section 10 (2) read with Section 18 of Payment and Settlement Systems Act, 2007 (Act 51 of 2007) and shall come into effect immediately.</w:t>
      </w:r>
    </w:p>
    <w:p w:rsidR="006458AB" w:rsidRDefault="006458AB" w:rsidP="006458AB">
      <w:pPr>
        <w:pStyle w:val="NormalWeb"/>
        <w:rPr>
          <w:rFonts w:ascii="Arial" w:hAnsi="Arial" w:cs="Arial"/>
          <w:color w:val="000000"/>
          <w:sz w:val="20"/>
          <w:szCs w:val="20"/>
        </w:rPr>
      </w:pPr>
      <w:r>
        <w:rPr>
          <w:rFonts w:ascii="Arial" w:hAnsi="Arial" w:cs="Arial"/>
          <w:color w:val="000000"/>
          <w:sz w:val="20"/>
          <w:szCs w:val="20"/>
        </w:rPr>
        <w:t>Yours faithfully,</w:t>
      </w:r>
    </w:p>
    <w:p w:rsidR="006458AB" w:rsidRDefault="006458AB" w:rsidP="006458AB">
      <w:pPr>
        <w:pStyle w:val="NormalWeb"/>
        <w:rPr>
          <w:rFonts w:ascii="Arial" w:hAnsi="Arial" w:cs="Arial"/>
          <w:color w:val="000000"/>
          <w:sz w:val="20"/>
          <w:szCs w:val="20"/>
        </w:rPr>
      </w:pPr>
      <w:r>
        <w:rPr>
          <w:rFonts w:ascii="Arial" w:hAnsi="Arial" w:cs="Arial"/>
          <w:color w:val="000000"/>
          <w:sz w:val="20"/>
          <w:szCs w:val="20"/>
        </w:rPr>
        <w:t xml:space="preserve">(P. </w:t>
      </w:r>
      <w:proofErr w:type="spellStart"/>
      <w:r>
        <w:rPr>
          <w:rFonts w:ascii="Arial" w:hAnsi="Arial" w:cs="Arial"/>
          <w:color w:val="000000"/>
          <w:sz w:val="20"/>
          <w:szCs w:val="20"/>
        </w:rPr>
        <w:t>Vasudevan</w:t>
      </w:r>
      <w:proofErr w:type="spellEnd"/>
      <w:r>
        <w:rPr>
          <w:rFonts w:ascii="Arial" w:hAnsi="Arial" w:cs="Arial"/>
          <w:color w:val="000000"/>
          <w:sz w:val="20"/>
          <w:szCs w:val="20"/>
        </w:rPr>
        <w:t>)</w:t>
      </w:r>
      <w:r>
        <w:rPr>
          <w:rFonts w:ascii="Arial" w:hAnsi="Arial" w:cs="Arial"/>
          <w:color w:val="000000"/>
          <w:sz w:val="20"/>
          <w:szCs w:val="20"/>
        </w:rPr>
        <w:br/>
        <w:t>Chief General Manager</w:t>
      </w:r>
    </w:p>
    <w:p w:rsidR="006458AB" w:rsidRDefault="006458AB" w:rsidP="006458AB">
      <w:pPr>
        <w:pStyle w:val="NormalWeb"/>
        <w:rPr>
          <w:rFonts w:ascii="Arial" w:hAnsi="Arial" w:cs="Arial"/>
          <w:color w:val="000000"/>
          <w:sz w:val="20"/>
          <w:szCs w:val="20"/>
        </w:rPr>
      </w:pPr>
    </w:p>
    <w:p w:rsidR="006458AB" w:rsidRDefault="006458AB" w:rsidP="006458AB">
      <w:pPr>
        <w:pStyle w:val="NormalWeb"/>
        <w:rPr>
          <w:rFonts w:ascii="Arial" w:hAnsi="Arial" w:cs="Arial"/>
          <w:color w:val="000000"/>
          <w:sz w:val="20"/>
          <w:szCs w:val="20"/>
        </w:rPr>
      </w:pPr>
    </w:p>
    <w:p w:rsidR="006458AB" w:rsidRDefault="006458AB" w:rsidP="006458AB">
      <w:pPr>
        <w:pStyle w:val="NormalWeb"/>
        <w:rPr>
          <w:rFonts w:ascii="Arial" w:hAnsi="Arial" w:cs="Arial"/>
          <w:color w:val="000000"/>
          <w:sz w:val="20"/>
          <w:szCs w:val="20"/>
        </w:rPr>
      </w:pPr>
    </w:p>
    <w:p w:rsidR="006458AB" w:rsidRDefault="006458AB" w:rsidP="006458AB">
      <w:r>
        <w:t>More details can be referred to in the below link.</w:t>
      </w:r>
    </w:p>
    <w:p w:rsidR="006458AB" w:rsidRDefault="006458AB" w:rsidP="006458AB">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2" w:history="1">
        <w:r w:rsidRPr="006865D6">
          <w:rPr>
            <w:rStyle w:val="Hyperlink"/>
            <w:rFonts w:ascii="Arial" w:hAnsi="Arial" w:cs="Arial"/>
            <w:bCs/>
            <w:sz w:val="20"/>
            <w:szCs w:val="20"/>
          </w:rPr>
          <w:t>https://www.rbi.org.in/Scripts/NotificationUser.aspx?Id=12348&amp;Mode=0</w:t>
        </w:r>
      </w:hyperlink>
    </w:p>
    <w:p w:rsidR="006458AB" w:rsidRDefault="006458AB" w:rsidP="006458AB">
      <w:pPr>
        <w:pStyle w:val="NormalWeb"/>
        <w:rPr>
          <w:rFonts w:ascii="Arial" w:hAnsi="Arial" w:cs="Arial"/>
          <w:color w:val="000000"/>
          <w:sz w:val="20"/>
          <w:szCs w:val="20"/>
        </w:rPr>
      </w:pPr>
    </w:p>
    <w:p w:rsidR="00E653FA" w:rsidRDefault="00E653FA" w:rsidP="008C7A02">
      <w:pPr>
        <w:jc w:val="both"/>
        <w:rPr>
          <w:rFonts w:ascii="Arial" w:hAnsi="Arial" w:cs="Arial"/>
          <w:b/>
          <w:bCs/>
          <w:color w:val="000000"/>
          <w:sz w:val="20"/>
          <w:szCs w:val="20"/>
        </w:rPr>
      </w:pPr>
    </w:p>
    <w:p w:rsidR="006458AB" w:rsidRDefault="006458AB" w:rsidP="006458AB">
      <w:pPr>
        <w:rPr>
          <w:rFonts w:ascii="Arial" w:hAnsi="Arial" w:cs="Arial"/>
          <w:b/>
          <w:bCs/>
          <w:color w:val="000000"/>
          <w:sz w:val="20"/>
          <w:szCs w:val="20"/>
        </w:rPr>
      </w:pPr>
      <w:r>
        <w:rPr>
          <w:rFonts w:ascii="Arial" w:hAnsi="Arial" w:cs="Arial"/>
          <w:b/>
          <w:bCs/>
          <w:color w:val="000000"/>
          <w:sz w:val="20"/>
          <w:szCs w:val="20"/>
        </w:rPr>
        <w:lastRenderedPageBreak/>
        <w:t>Master Direction on Interest Rate on Deposits - Foreign Currency (Non-resident) Accounts (Banks) Scheme [FCNR(B)] and Non-Resident (External) Rupee (NRE) Deposit</w:t>
      </w:r>
    </w:p>
    <w:p w:rsidR="006458AB" w:rsidRDefault="006458AB" w:rsidP="006458AB">
      <w:pPr>
        <w:pStyle w:val="NormalWeb"/>
        <w:rPr>
          <w:rFonts w:ascii="Arial" w:hAnsi="Arial" w:cs="Arial"/>
          <w:color w:val="000000"/>
          <w:sz w:val="20"/>
          <w:szCs w:val="20"/>
        </w:rPr>
      </w:pPr>
      <w:r>
        <w:rPr>
          <w:rFonts w:ascii="Arial" w:hAnsi="Arial" w:cs="Arial"/>
          <w:color w:val="000000"/>
          <w:sz w:val="20"/>
          <w:szCs w:val="20"/>
        </w:rPr>
        <w:t>RBI/2022-23/82</w:t>
      </w:r>
      <w:r>
        <w:rPr>
          <w:rFonts w:ascii="Arial" w:hAnsi="Arial" w:cs="Arial"/>
          <w:color w:val="000000"/>
          <w:sz w:val="20"/>
          <w:szCs w:val="20"/>
        </w:rPr>
        <w:br/>
        <w:t>DOR.SOG (SPE).</w:t>
      </w:r>
      <w:proofErr w:type="spellStart"/>
      <w:r>
        <w:rPr>
          <w:rFonts w:ascii="Arial" w:hAnsi="Arial" w:cs="Arial"/>
          <w:color w:val="000000"/>
          <w:sz w:val="20"/>
          <w:szCs w:val="20"/>
        </w:rPr>
        <w:t>REC.No</w:t>
      </w:r>
      <w:proofErr w:type="spellEnd"/>
      <w:r>
        <w:rPr>
          <w:rFonts w:ascii="Arial" w:hAnsi="Arial" w:cs="Arial"/>
          <w:color w:val="000000"/>
          <w:sz w:val="20"/>
          <w:szCs w:val="20"/>
        </w:rPr>
        <w:t xml:space="preserve"> 53/13.03.000/2022-23</w:t>
      </w:r>
    </w:p>
    <w:p w:rsidR="006458AB" w:rsidRDefault="006458AB" w:rsidP="006458AB">
      <w:pPr>
        <w:pStyle w:val="NormalWeb"/>
        <w:jc w:val="right"/>
        <w:rPr>
          <w:rFonts w:ascii="Arial" w:hAnsi="Arial" w:cs="Arial"/>
          <w:color w:val="000000"/>
          <w:sz w:val="20"/>
          <w:szCs w:val="20"/>
        </w:rPr>
      </w:pPr>
      <w:r>
        <w:rPr>
          <w:rFonts w:ascii="Arial" w:hAnsi="Arial" w:cs="Arial"/>
          <w:color w:val="000000"/>
          <w:sz w:val="20"/>
          <w:szCs w:val="20"/>
        </w:rPr>
        <w:t>July 06, 2022</w:t>
      </w:r>
    </w:p>
    <w:p w:rsidR="006458AB" w:rsidRDefault="006458AB" w:rsidP="006458AB">
      <w:pPr>
        <w:pStyle w:val="NormalWeb"/>
        <w:rPr>
          <w:rFonts w:ascii="Arial" w:hAnsi="Arial" w:cs="Arial"/>
          <w:color w:val="000000"/>
          <w:sz w:val="20"/>
          <w:szCs w:val="20"/>
        </w:rPr>
      </w:pPr>
      <w:r>
        <w:rPr>
          <w:rFonts w:ascii="Arial" w:hAnsi="Arial" w:cs="Arial"/>
          <w:color w:val="000000"/>
          <w:sz w:val="20"/>
          <w:szCs w:val="20"/>
        </w:rPr>
        <w:t>All Scheduled Commercial Banks (including Regional Rural Banks)</w:t>
      </w:r>
      <w:r>
        <w:rPr>
          <w:rFonts w:ascii="Arial" w:hAnsi="Arial" w:cs="Arial"/>
          <w:color w:val="000000"/>
          <w:sz w:val="20"/>
          <w:szCs w:val="20"/>
        </w:rPr>
        <w:br/>
        <w:t>All Small Finance Banks</w:t>
      </w:r>
      <w:r>
        <w:rPr>
          <w:rFonts w:ascii="Arial" w:hAnsi="Arial" w:cs="Arial"/>
          <w:color w:val="000000"/>
          <w:sz w:val="20"/>
          <w:szCs w:val="20"/>
        </w:rPr>
        <w:br/>
        <w:t>All Local Area Banks</w:t>
      </w:r>
      <w:r>
        <w:rPr>
          <w:rFonts w:ascii="Arial" w:hAnsi="Arial" w:cs="Arial"/>
          <w:color w:val="000000"/>
          <w:sz w:val="20"/>
          <w:szCs w:val="20"/>
        </w:rPr>
        <w:br/>
        <w:t>All Payment Banks</w:t>
      </w:r>
      <w:r>
        <w:rPr>
          <w:rFonts w:ascii="Arial" w:hAnsi="Arial" w:cs="Arial"/>
          <w:color w:val="000000"/>
          <w:sz w:val="20"/>
          <w:szCs w:val="20"/>
        </w:rPr>
        <w:br/>
        <w:t>All Primary (Urban) Co-operative Banks/ DCCBs /State Cooperative Banks</w:t>
      </w:r>
    </w:p>
    <w:p w:rsidR="006458AB" w:rsidRDefault="006458AB" w:rsidP="006458AB">
      <w:pPr>
        <w:pStyle w:val="NormalWeb"/>
        <w:rPr>
          <w:rFonts w:ascii="Arial" w:hAnsi="Arial" w:cs="Arial"/>
          <w:color w:val="000000"/>
          <w:sz w:val="20"/>
          <w:szCs w:val="20"/>
        </w:rPr>
      </w:pPr>
      <w:r>
        <w:rPr>
          <w:rFonts w:ascii="Arial" w:hAnsi="Arial" w:cs="Arial"/>
          <w:color w:val="000000"/>
          <w:sz w:val="20"/>
          <w:szCs w:val="20"/>
        </w:rPr>
        <w:t>Dear Sir / Madam,</w:t>
      </w:r>
    </w:p>
    <w:p w:rsidR="006458AB" w:rsidRDefault="006458AB" w:rsidP="006458AB">
      <w:pPr>
        <w:pStyle w:val="head"/>
        <w:rPr>
          <w:rFonts w:ascii="Arial" w:hAnsi="Arial" w:cs="Arial"/>
          <w:b/>
          <w:bCs/>
          <w:color w:val="000000"/>
          <w:sz w:val="20"/>
          <w:szCs w:val="20"/>
        </w:rPr>
      </w:pPr>
      <w:r>
        <w:rPr>
          <w:rFonts w:ascii="Arial" w:hAnsi="Arial" w:cs="Arial"/>
          <w:b/>
          <w:bCs/>
          <w:color w:val="000000"/>
          <w:sz w:val="20"/>
          <w:szCs w:val="20"/>
        </w:rPr>
        <w:t>Master Direction on Interest Rate on Deposits - Foreign Currency (Non-resident) Accounts (Banks) Scheme [FCNR(B)] and Non-Resident (External) Rupee (NRE) Deposit</w:t>
      </w:r>
    </w:p>
    <w:p w:rsidR="006458AB" w:rsidRDefault="006458AB" w:rsidP="006458AB">
      <w:pPr>
        <w:pStyle w:val="NormalWeb"/>
        <w:rPr>
          <w:rFonts w:ascii="Arial" w:hAnsi="Arial" w:cs="Arial"/>
          <w:color w:val="000000"/>
          <w:sz w:val="20"/>
          <w:szCs w:val="20"/>
        </w:rPr>
      </w:pPr>
      <w:r>
        <w:rPr>
          <w:rFonts w:ascii="Arial" w:hAnsi="Arial" w:cs="Arial"/>
          <w:color w:val="000000"/>
          <w:sz w:val="20"/>
          <w:szCs w:val="20"/>
        </w:rPr>
        <w:t>Please refer to the instructions regarding interest rates on FCNR (B) deposits contained in Section 19 of the </w:t>
      </w:r>
      <w:hyperlink r:id="rId13" w:tgtFrame="_blank" w:history="1">
        <w:r>
          <w:rPr>
            <w:rStyle w:val="Hyperlink"/>
            <w:rFonts w:ascii="Arial" w:hAnsi="Arial" w:cs="Arial"/>
            <w:sz w:val="20"/>
            <w:szCs w:val="20"/>
          </w:rPr>
          <w:t>Master Direction (MD) on Interest Rate on Deposits dated March 03, 2016</w:t>
        </w:r>
      </w:hyperlink>
      <w:r>
        <w:rPr>
          <w:rFonts w:ascii="Arial" w:hAnsi="Arial" w:cs="Arial"/>
          <w:color w:val="000000"/>
          <w:sz w:val="20"/>
          <w:szCs w:val="20"/>
        </w:rPr>
        <w:t> and Section 18 of the </w:t>
      </w:r>
      <w:hyperlink r:id="rId14" w:tgtFrame="_blank" w:history="1">
        <w:r>
          <w:rPr>
            <w:rStyle w:val="Hyperlink"/>
            <w:rFonts w:ascii="Arial" w:hAnsi="Arial" w:cs="Arial"/>
            <w:sz w:val="20"/>
            <w:szCs w:val="20"/>
          </w:rPr>
          <w:t>Master Direction (MD) on Interest Rate on Deposits dated May 12, 2016</w:t>
        </w:r>
      </w:hyperlink>
      <w:r>
        <w:rPr>
          <w:rFonts w:ascii="Arial" w:hAnsi="Arial" w:cs="Arial"/>
          <w:color w:val="000000"/>
          <w:sz w:val="20"/>
          <w:szCs w:val="20"/>
        </w:rPr>
        <w:t>. In this connection, banks are advised that with effect from July 07, 2022, the interest rate ceiling applicable to FCNR (B) deposits is being temporarily withdrawn for incremental FCNR (B) deposits mobilized by banks for the period until October 31, 2022.</w:t>
      </w:r>
    </w:p>
    <w:p w:rsidR="006458AB" w:rsidRDefault="006458AB" w:rsidP="006458AB">
      <w:pPr>
        <w:pStyle w:val="NormalWeb"/>
        <w:rPr>
          <w:rFonts w:ascii="Arial" w:hAnsi="Arial" w:cs="Arial"/>
          <w:color w:val="000000"/>
          <w:sz w:val="20"/>
          <w:szCs w:val="20"/>
        </w:rPr>
      </w:pPr>
      <w:r>
        <w:rPr>
          <w:rFonts w:ascii="Arial" w:hAnsi="Arial" w:cs="Arial"/>
          <w:color w:val="000000"/>
          <w:sz w:val="20"/>
          <w:szCs w:val="20"/>
        </w:rPr>
        <w:t>2. Further, in terms of Section 15 (d) and Section 14 (d) of the above-mentioned MDs respectively, interest rates on NRE deposits shall not be higher than those offered by the banks on comparable domestic rupee term deposits. In this regard, the said restriction with respect to interest rates offered on incremental NRE deposits mobilized by banks shall be temporarily withdrawn with effect from July 07, 2022, for the period until October 31, 2022. The above relaxation shall not be applicable to Ordinary Non-Resident (NRO) Deposits.</w:t>
      </w:r>
    </w:p>
    <w:p w:rsidR="006458AB" w:rsidRDefault="006458AB" w:rsidP="006458AB">
      <w:pPr>
        <w:pStyle w:val="NormalWeb"/>
        <w:rPr>
          <w:rFonts w:ascii="Arial" w:hAnsi="Arial" w:cs="Arial"/>
          <w:color w:val="000000"/>
          <w:sz w:val="20"/>
          <w:szCs w:val="20"/>
        </w:rPr>
      </w:pPr>
      <w:r>
        <w:rPr>
          <w:rFonts w:ascii="Arial" w:hAnsi="Arial" w:cs="Arial"/>
          <w:color w:val="000000"/>
          <w:sz w:val="20"/>
          <w:szCs w:val="20"/>
        </w:rPr>
        <w:t>3. These concessions will be subject to review.</w:t>
      </w:r>
    </w:p>
    <w:p w:rsidR="006458AB" w:rsidRDefault="006458AB" w:rsidP="006458AB">
      <w:pPr>
        <w:pStyle w:val="NormalWeb"/>
        <w:rPr>
          <w:rFonts w:ascii="Arial" w:hAnsi="Arial" w:cs="Arial"/>
          <w:color w:val="000000"/>
          <w:sz w:val="20"/>
          <w:szCs w:val="20"/>
        </w:rPr>
      </w:pPr>
      <w:r>
        <w:rPr>
          <w:rFonts w:ascii="Arial" w:hAnsi="Arial" w:cs="Arial"/>
          <w:color w:val="000000"/>
          <w:sz w:val="20"/>
          <w:szCs w:val="20"/>
        </w:rPr>
        <w:t>4. All other instructions in this regard shall remain unchanged.</w:t>
      </w:r>
    </w:p>
    <w:p w:rsidR="006458AB" w:rsidRDefault="006458AB" w:rsidP="006458AB">
      <w:pPr>
        <w:pStyle w:val="NormalWeb"/>
        <w:rPr>
          <w:rFonts w:ascii="Arial" w:hAnsi="Arial" w:cs="Arial"/>
          <w:color w:val="000000"/>
          <w:sz w:val="20"/>
          <w:szCs w:val="20"/>
        </w:rPr>
      </w:pPr>
      <w:r>
        <w:rPr>
          <w:rFonts w:ascii="Arial" w:hAnsi="Arial" w:cs="Arial"/>
          <w:color w:val="000000"/>
          <w:sz w:val="20"/>
          <w:szCs w:val="20"/>
        </w:rPr>
        <w:t>Yours faithfully,</w:t>
      </w:r>
    </w:p>
    <w:p w:rsidR="006458AB" w:rsidRDefault="006458AB" w:rsidP="006458AB">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rsidR="006458AB" w:rsidRDefault="006458AB" w:rsidP="006458AB">
      <w:pPr>
        <w:rPr>
          <w:rFonts w:ascii="Arial" w:hAnsi="Arial" w:cs="Arial"/>
          <w:sz w:val="20"/>
          <w:szCs w:val="20"/>
        </w:rPr>
      </w:pPr>
    </w:p>
    <w:p w:rsidR="006458AB" w:rsidRDefault="006458AB" w:rsidP="006458AB">
      <w:pPr>
        <w:rPr>
          <w:rFonts w:ascii="Arial" w:hAnsi="Arial" w:cs="Arial"/>
          <w:sz w:val="20"/>
          <w:szCs w:val="20"/>
        </w:rPr>
      </w:pPr>
    </w:p>
    <w:p w:rsidR="006458AB" w:rsidRDefault="006458AB" w:rsidP="006458AB">
      <w:pPr>
        <w:rPr>
          <w:rFonts w:ascii="Arial" w:hAnsi="Arial" w:cs="Arial"/>
          <w:sz w:val="20"/>
          <w:szCs w:val="20"/>
        </w:rPr>
      </w:pPr>
    </w:p>
    <w:p w:rsidR="006458AB" w:rsidRDefault="006458AB" w:rsidP="006458AB">
      <w:r>
        <w:t>More details can be referred to in the below link.</w:t>
      </w:r>
    </w:p>
    <w:p w:rsidR="006458AB" w:rsidRDefault="006458AB" w:rsidP="006458AB">
      <w:pPr>
        <w:rPr>
          <w:rFonts w:ascii="Arial" w:hAnsi="Arial" w:cs="Arial"/>
          <w:bCs/>
          <w:color w:val="000000"/>
          <w:sz w:val="20"/>
          <w:szCs w:val="20"/>
        </w:rPr>
      </w:pPr>
      <w:r>
        <w:rPr>
          <w:rFonts w:ascii="Arial" w:hAnsi="Arial" w:cs="Arial"/>
          <w:bCs/>
          <w:color w:val="000000"/>
          <w:sz w:val="20"/>
          <w:szCs w:val="20"/>
        </w:rPr>
        <w:t xml:space="preserve">Reference Link: </w:t>
      </w:r>
      <w:hyperlink r:id="rId15" w:history="1">
        <w:r w:rsidRPr="006865D6">
          <w:rPr>
            <w:rStyle w:val="Hyperlink"/>
            <w:rFonts w:ascii="Arial" w:hAnsi="Arial" w:cs="Arial"/>
            <w:bCs/>
            <w:sz w:val="20"/>
            <w:szCs w:val="20"/>
          </w:rPr>
          <w:t>https://rbi.org.in/Scripts/NotificationUser.aspx?Id=12350&amp;Mode=0</w:t>
        </w:r>
      </w:hyperlink>
    </w:p>
    <w:p w:rsidR="006458AB" w:rsidRDefault="006458AB" w:rsidP="006458AB">
      <w:pPr>
        <w:rPr>
          <w:rFonts w:ascii="Arial" w:hAnsi="Arial" w:cs="Arial"/>
          <w:sz w:val="20"/>
          <w:szCs w:val="20"/>
        </w:rPr>
      </w:pPr>
    </w:p>
    <w:p w:rsidR="006458AB" w:rsidRDefault="006458AB" w:rsidP="006458AB">
      <w:pPr>
        <w:rPr>
          <w:rFonts w:ascii="Arial" w:hAnsi="Arial" w:cs="Arial"/>
          <w:sz w:val="20"/>
          <w:szCs w:val="20"/>
        </w:rPr>
      </w:pPr>
    </w:p>
    <w:p w:rsidR="006458AB" w:rsidRDefault="006458AB" w:rsidP="008C7A02">
      <w:pPr>
        <w:jc w:val="both"/>
        <w:rPr>
          <w:rFonts w:ascii="Arial" w:hAnsi="Arial" w:cs="Arial"/>
          <w:b/>
          <w:bCs/>
          <w:color w:val="000000"/>
          <w:sz w:val="20"/>
          <w:szCs w:val="20"/>
        </w:rPr>
      </w:pPr>
    </w:p>
    <w:p w:rsidR="006458AB" w:rsidRDefault="006458AB" w:rsidP="008C7A02">
      <w:pPr>
        <w:jc w:val="both"/>
        <w:rPr>
          <w:rFonts w:ascii="Arial" w:hAnsi="Arial" w:cs="Arial"/>
          <w:b/>
          <w:bCs/>
          <w:color w:val="000000"/>
          <w:sz w:val="20"/>
          <w:szCs w:val="20"/>
        </w:rPr>
      </w:pPr>
    </w:p>
    <w:p w:rsidR="006458AB" w:rsidRDefault="006458AB" w:rsidP="006458AB">
      <w:pPr>
        <w:rPr>
          <w:rFonts w:ascii="Arial" w:hAnsi="Arial" w:cs="Arial"/>
          <w:b/>
          <w:bCs/>
          <w:color w:val="000000"/>
          <w:sz w:val="20"/>
          <w:szCs w:val="20"/>
        </w:rPr>
      </w:pPr>
      <w:r>
        <w:rPr>
          <w:rFonts w:ascii="Arial" w:hAnsi="Arial" w:cs="Arial"/>
          <w:b/>
          <w:bCs/>
          <w:color w:val="000000"/>
          <w:sz w:val="20"/>
          <w:szCs w:val="20"/>
        </w:rPr>
        <w:lastRenderedPageBreak/>
        <w:t>Section 42 of the Reserve Bank of India Act, 1934 and Section 18 and 24 of the Banking Regulation Act, 1949 – FCNR (B)/NRE Term deposits - Exemption from maintenance of CRR/SLR</w:t>
      </w:r>
    </w:p>
    <w:p w:rsidR="006458AB" w:rsidRPr="0001134A" w:rsidRDefault="006458AB" w:rsidP="006458AB">
      <w:pPr>
        <w:spacing w:before="100" w:beforeAutospacing="1" w:after="100" w:afterAutospacing="1" w:line="240" w:lineRule="auto"/>
        <w:rPr>
          <w:rFonts w:ascii="Arial" w:eastAsia="Times New Roman" w:hAnsi="Arial" w:cs="Arial"/>
          <w:color w:val="000000"/>
          <w:sz w:val="20"/>
          <w:szCs w:val="20"/>
          <w:lang w:eastAsia="en-IN"/>
        </w:rPr>
      </w:pPr>
      <w:r w:rsidRPr="0001134A">
        <w:rPr>
          <w:rFonts w:ascii="Arial" w:eastAsia="Times New Roman" w:hAnsi="Arial" w:cs="Arial"/>
          <w:color w:val="000000"/>
          <w:sz w:val="20"/>
          <w:szCs w:val="20"/>
          <w:lang w:eastAsia="en-IN"/>
        </w:rPr>
        <w:t>RBI/2022-23/83</w:t>
      </w:r>
      <w:r w:rsidRPr="0001134A">
        <w:rPr>
          <w:rFonts w:ascii="Arial" w:eastAsia="Times New Roman" w:hAnsi="Arial" w:cs="Arial"/>
          <w:color w:val="000000"/>
          <w:sz w:val="20"/>
          <w:szCs w:val="20"/>
          <w:lang w:eastAsia="en-IN"/>
        </w:rPr>
        <w:br/>
        <w:t>DOR.RET.REC.54/12.01.001/2022-23</w:t>
      </w:r>
    </w:p>
    <w:p w:rsidR="006458AB" w:rsidRPr="0001134A" w:rsidRDefault="006458AB" w:rsidP="006458AB">
      <w:pPr>
        <w:spacing w:before="100" w:beforeAutospacing="1" w:after="100" w:afterAutospacing="1" w:line="240" w:lineRule="auto"/>
        <w:jc w:val="right"/>
        <w:rPr>
          <w:rFonts w:ascii="Arial" w:eastAsia="Times New Roman" w:hAnsi="Arial" w:cs="Arial"/>
          <w:color w:val="000000"/>
          <w:sz w:val="20"/>
          <w:szCs w:val="20"/>
          <w:lang w:eastAsia="en-IN"/>
        </w:rPr>
      </w:pPr>
      <w:r w:rsidRPr="0001134A">
        <w:rPr>
          <w:rFonts w:ascii="Arial" w:eastAsia="Times New Roman" w:hAnsi="Arial" w:cs="Arial"/>
          <w:color w:val="000000"/>
          <w:sz w:val="20"/>
          <w:szCs w:val="20"/>
          <w:lang w:eastAsia="en-IN"/>
        </w:rPr>
        <w:t>July 06, 2022</w:t>
      </w:r>
    </w:p>
    <w:p w:rsidR="006458AB" w:rsidRPr="0001134A" w:rsidRDefault="006458AB" w:rsidP="006458AB">
      <w:pPr>
        <w:spacing w:before="100" w:beforeAutospacing="1" w:after="100" w:afterAutospacing="1" w:line="240" w:lineRule="auto"/>
        <w:rPr>
          <w:rFonts w:ascii="Arial" w:eastAsia="Times New Roman" w:hAnsi="Arial" w:cs="Arial"/>
          <w:color w:val="000000"/>
          <w:sz w:val="20"/>
          <w:szCs w:val="20"/>
          <w:lang w:eastAsia="en-IN"/>
        </w:rPr>
      </w:pPr>
      <w:r w:rsidRPr="0001134A">
        <w:rPr>
          <w:rFonts w:ascii="Arial" w:eastAsia="Times New Roman" w:hAnsi="Arial" w:cs="Arial"/>
          <w:color w:val="000000"/>
          <w:sz w:val="20"/>
          <w:szCs w:val="20"/>
          <w:lang w:eastAsia="en-IN"/>
        </w:rPr>
        <w:t>All Scheduled Commercial Banks (including Regional Rural Banks)</w:t>
      </w:r>
      <w:r w:rsidRPr="0001134A">
        <w:rPr>
          <w:rFonts w:ascii="Arial" w:eastAsia="Times New Roman" w:hAnsi="Arial" w:cs="Arial"/>
          <w:color w:val="000000"/>
          <w:sz w:val="20"/>
          <w:szCs w:val="20"/>
          <w:lang w:eastAsia="en-IN"/>
        </w:rPr>
        <w:br/>
        <w:t>Local Area Banks, Small Finance Banks, Payments Banks</w:t>
      </w:r>
      <w:r w:rsidRPr="0001134A">
        <w:rPr>
          <w:rFonts w:ascii="Arial" w:eastAsia="Times New Roman" w:hAnsi="Arial" w:cs="Arial"/>
          <w:color w:val="000000"/>
          <w:sz w:val="20"/>
          <w:szCs w:val="20"/>
          <w:lang w:eastAsia="en-IN"/>
        </w:rPr>
        <w:br/>
        <w:t>Primary (Urban) Co-operative Banks (UCBs)</w:t>
      </w:r>
      <w:r w:rsidRPr="0001134A">
        <w:rPr>
          <w:rFonts w:ascii="Arial" w:eastAsia="Times New Roman" w:hAnsi="Arial" w:cs="Arial"/>
          <w:color w:val="000000"/>
          <w:sz w:val="20"/>
          <w:szCs w:val="20"/>
          <w:lang w:eastAsia="en-IN"/>
        </w:rPr>
        <w:br/>
        <w:t>State and Central Co-operative Banks (</w:t>
      </w:r>
      <w:proofErr w:type="spellStart"/>
      <w:r w:rsidRPr="0001134A">
        <w:rPr>
          <w:rFonts w:ascii="Arial" w:eastAsia="Times New Roman" w:hAnsi="Arial" w:cs="Arial"/>
          <w:color w:val="000000"/>
          <w:sz w:val="20"/>
          <w:szCs w:val="20"/>
          <w:lang w:eastAsia="en-IN"/>
        </w:rPr>
        <w:t>StCBs</w:t>
      </w:r>
      <w:proofErr w:type="spellEnd"/>
      <w:r w:rsidRPr="0001134A">
        <w:rPr>
          <w:rFonts w:ascii="Arial" w:eastAsia="Times New Roman" w:hAnsi="Arial" w:cs="Arial"/>
          <w:color w:val="000000"/>
          <w:sz w:val="20"/>
          <w:szCs w:val="20"/>
          <w:lang w:eastAsia="en-IN"/>
        </w:rPr>
        <w:t xml:space="preserve"> / CCBs)</w:t>
      </w:r>
    </w:p>
    <w:p w:rsidR="006458AB" w:rsidRPr="0001134A" w:rsidRDefault="006458AB" w:rsidP="006458AB">
      <w:pPr>
        <w:spacing w:before="100" w:beforeAutospacing="1" w:after="100" w:afterAutospacing="1" w:line="240" w:lineRule="auto"/>
        <w:rPr>
          <w:rFonts w:ascii="Arial" w:eastAsia="Times New Roman" w:hAnsi="Arial" w:cs="Arial"/>
          <w:color w:val="000000"/>
          <w:sz w:val="20"/>
          <w:szCs w:val="20"/>
          <w:lang w:eastAsia="en-IN"/>
        </w:rPr>
      </w:pPr>
      <w:r w:rsidRPr="0001134A">
        <w:rPr>
          <w:rFonts w:ascii="Arial" w:eastAsia="Times New Roman" w:hAnsi="Arial" w:cs="Arial"/>
          <w:color w:val="000000"/>
          <w:sz w:val="20"/>
          <w:szCs w:val="20"/>
          <w:lang w:eastAsia="en-IN"/>
        </w:rPr>
        <w:t>Madam/Dear Sir,</w:t>
      </w:r>
    </w:p>
    <w:p w:rsidR="006458AB" w:rsidRPr="0001134A" w:rsidRDefault="006458AB" w:rsidP="006458AB">
      <w:pPr>
        <w:spacing w:before="100" w:beforeAutospacing="1" w:after="100" w:afterAutospacing="1" w:line="240" w:lineRule="auto"/>
        <w:rPr>
          <w:rFonts w:ascii="Arial" w:eastAsia="Times New Roman" w:hAnsi="Arial" w:cs="Arial"/>
          <w:b/>
          <w:bCs/>
          <w:color w:val="000000"/>
          <w:sz w:val="20"/>
          <w:szCs w:val="20"/>
          <w:lang w:eastAsia="en-IN"/>
        </w:rPr>
      </w:pPr>
      <w:r w:rsidRPr="0001134A">
        <w:rPr>
          <w:rFonts w:ascii="Arial" w:eastAsia="Times New Roman" w:hAnsi="Arial" w:cs="Arial"/>
          <w:b/>
          <w:bCs/>
          <w:color w:val="000000"/>
          <w:sz w:val="20"/>
          <w:szCs w:val="20"/>
          <w:lang w:eastAsia="en-IN"/>
        </w:rPr>
        <w:t>Section 42 of the Reserve Bank of India Act, 1934 and Section 18 and 24 of the Banking Regulation Act, 1949 – FCNR (B)/NRE Term deposits - Exemption from maintenance of CRR/SLR</w:t>
      </w:r>
    </w:p>
    <w:p w:rsidR="006458AB" w:rsidRPr="0001134A" w:rsidRDefault="006458AB" w:rsidP="006458AB">
      <w:pPr>
        <w:spacing w:before="100" w:beforeAutospacing="1" w:after="100" w:afterAutospacing="1" w:line="240" w:lineRule="auto"/>
        <w:rPr>
          <w:rFonts w:ascii="Arial" w:eastAsia="Times New Roman" w:hAnsi="Arial" w:cs="Arial"/>
          <w:color w:val="000000"/>
          <w:sz w:val="20"/>
          <w:szCs w:val="20"/>
          <w:lang w:eastAsia="en-IN"/>
        </w:rPr>
      </w:pPr>
      <w:r w:rsidRPr="0001134A">
        <w:rPr>
          <w:rFonts w:ascii="Arial" w:eastAsia="Times New Roman" w:hAnsi="Arial" w:cs="Arial"/>
          <w:color w:val="000000"/>
          <w:sz w:val="20"/>
          <w:szCs w:val="20"/>
          <w:lang w:eastAsia="en-IN"/>
        </w:rPr>
        <w:t>At present, banks are required to include all Foreign Currency Non-Resident (Bank) [FCNR (B)] and Non-Resident (External) Rupee (NRE) deposit liabilities for computation of Net Demand and Time Liabilities (NDTL) for maintenance of CRR and SLR.</w:t>
      </w:r>
    </w:p>
    <w:p w:rsidR="006458AB" w:rsidRPr="0001134A" w:rsidRDefault="006458AB" w:rsidP="006458AB">
      <w:pPr>
        <w:spacing w:before="100" w:beforeAutospacing="1" w:after="100" w:afterAutospacing="1" w:line="240" w:lineRule="auto"/>
        <w:rPr>
          <w:rFonts w:ascii="Arial" w:eastAsia="Times New Roman" w:hAnsi="Arial" w:cs="Arial"/>
          <w:color w:val="000000"/>
          <w:sz w:val="20"/>
          <w:szCs w:val="20"/>
          <w:lang w:eastAsia="en-IN"/>
        </w:rPr>
      </w:pPr>
      <w:r w:rsidRPr="0001134A">
        <w:rPr>
          <w:rFonts w:ascii="Arial" w:eastAsia="Times New Roman" w:hAnsi="Arial" w:cs="Arial"/>
          <w:color w:val="000000"/>
          <w:sz w:val="20"/>
          <w:szCs w:val="20"/>
          <w:lang w:eastAsia="en-IN"/>
        </w:rPr>
        <w:t>2. Banks are advised that with effect from the reporting fortnight beginning July 30, 2022, incremental FCNR (B) deposits as also NRE Term deposits with reference to base date of July 1, 2022, mobilised by banks will be exempt from maintenance of CRR and SLR. To amplify, if a bank had total FCNR (B) deposit of say USD 100 as on the base date, and mobilises an incremental deposit of say USD 20, that portion of USD 20 will not be part of liabilities reckoned for the purpose of NDTL computation for CRR and SLR maintenance with effect from the fortnight beginning July 30, 2022. The same principle will apply for calculation of NRE Term deposits for exemption from maintenance of CRR/SLR requirements. However, any transfer from Non-Resident (Ordinary) (NRO) accounts to NRE accounts will not qualify for such exemptions.</w:t>
      </w:r>
    </w:p>
    <w:p w:rsidR="006458AB" w:rsidRPr="0001134A" w:rsidRDefault="006458AB" w:rsidP="006458AB">
      <w:pPr>
        <w:spacing w:before="100" w:beforeAutospacing="1" w:after="100" w:afterAutospacing="1" w:line="240" w:lineRule="auto"/>
        <w:rPr>
          <w:rFonts w:ascii="Arial" w:eastAsia="Times New Roman" w:hAnsi="Arial" w:cs="Arial"/>
          <w:color w:val="000000"/>
          <w:sz w:val="20"/>
          <w:szCs w:val="20"/>
          <w:lang w:eastAsia="en-IN"/>
        </w:rPr>
      </w:pPr>
      <w:r w:rsidRPr="0001134A">
        <w:rPr>
          <w:rFonts w:ascii="Arial" w:eastAsia="Times New Roman" w:hAnsi="Arial" w:cs="Arial"/>
          <w:color w:val="000000"/>
          <w:sz w:val="20"/>
          <w:szCs w:val="20"/>
          <w:lang w:eastAsia="en-IN"/>
        </w:rPr>
        <w:t>3. The above exemptions are valid for deposits raised till November 04, 2022. The exemption on reserves maintenance will be available for the original deposit amounts till such time the deposits are held in the bank books.</w:t>
      </w:r>
    </w:p>
    <w:p w:rsidR="006458AB" w:rsidRPr="0001134A" w:rsidRDefault="006458AB" w:rsidP="006458AB">
      <w:pPr>
        <w:spacing w:before="100" w:beforeAutospacing="1" w:after="100" w:afterAutospacing="1" w:line="240" w:lineRule="auto"/>
        <w:rPr>
          <w:rFonts w:ascii="Arial" w:eastAsia="Times New Roman" w:hAnsi="Arial" w:cs="Arial"/>
          <w:color w:val="000000"/>
          <w:sz w:val="20"/>
          <w:szCs w:val="20"/>
          <w:lang w:eastAsia="en-IN"/>
        </w:rPr>
      </w:pPr>
      <w:r w:rsidRPr="0001134A">
        <w:rPr>
          <w:rFonts w:ascii="Arial" w:eastAsia="Times New Roman" w:hAnsi="Arial" w:cs="Arial"/>
          <w:color w:val="000000"/>
          <w:sz w:val="20"/>
          <w:szCs w:val="20"/>
          <w:lang w:eastAsia="en-IN"/>
        </w:rPr>
        <w:t>Yours faithfully</w:t>
      </w:r>
    </w:p>
    <w:p w:rsidR="006458AB" w:rsidRPr="0001134A" w:rsidRDefault="006458AB" w:rsidP="006458AB">
      <w:pPr>
        <w:spacing w:before="100" w:beforeAutospacing="1" w:after="100" w:afterAutospacing="1" w:line="240" w:lineRule="auto"/>
        <w:rPr>
          <w:rFonts w:ascii="Arial" w:eastAsia="Times New Roman" w:hAnsi="Arial" w:cs="Arial"/>
          <w:color w:val="000000"/>
          <w:sz w:val="20"/>
          <w:szCs w:val="20"/>
          <w:lang w:eastAsia="en-IN"/>
        </w:rPr>
      </w:pPr>
      <w:r w:rsidRPr="0001134A">
        <w:rPr>
          <w:rFonts w:ascii="Arial" w:eastAsia="Times New Roman" w:hAnsi="Arial" w:cs="Arial"/>
          <w:color w:val="000000"/>
          <w:sz w:val="20"/>
          <w:szCs w:val="20"/>
          <w:lang w:eastAsia="en-IN"/>
        </w:rPr>
        <w:t xml:space="preserve">(Prakash </w:t>
      </w:r>
      <w:proofErr w:type="spellStart"/>
      <w:r w:rsidRPr="0001134A">
        <w:rPr>
          <w:rFonts w:ascii="Arial" w:eastAsia="Times New Roman" w:hAnsi="Arial" w:cs="Arial"/>
          <w:color w:val="000000"/>
          <w:sz w:val="20"/>
          <w:szCs w:val="20"/>
          <w:lang w:eastAsia="en-IN"/>
        </w:rPr>
        <w:t>Baliarsingh</w:t>
      </w:r>
      <w:proofErr w:type="spellEnd"/>
      <w:r w:rsidRPr="0001134A">
        <w:rPr>
          <w:rFonts w:ascii="Arial" w:eastAsia="Times New Roman" w:hAnsi="Arial" w:cs="Arial"/>
          <w:color w:val="000000"/>
          <w:sz w:val="20"/>
          <w:szCs w:val="20"/>
          <w:lang w:eastAsia="en-IN"/>
        </w:rPr>
        <w:t>)</w:t>
      </w:r>
      <w:r w:rsidRPr="0001134A">
        <w:rPr>
          <w:rFonts w:ascii="Arial" w:eastAsia="Times New Roman" w:hAnsi="Arial" w:cs="Arial"/>
          <w:color w:val="000000"/>
          <w:sz w:val="20"/>
          <w:szCs w:val="20"/>
          <w:lang w:eastAsia="en-IN"/>
        </w:rPr>
        <w:br/>
        <w:t>Chief General Manager</w:t>
      </w:r>
    </w:p>
    <w:p w:rsidR="006458AB" w:rsidRDefault="006458AB" w:rsidP="006458AB">
      <w:pPr>
        <w:rPr>
          <w:rFonts w:ascii="Arial" w:hAnsi="Arial" w:cs="Arial"/>
          <w:sz w:val="20"/>
          <w:szCs w:val="20"/>
        </w:rPr>
      </w:pPr>
    </w:p>
    <w:p w:rsidR="006458AB" w:rsidRDefault="006458AB" w:rsidP="006458AB">
      <w:pPr>
        <w:rPr>
          <w:rFonts w:ascii="Arial" w:hAnsi="Arial" w:cs="Arial"/>
          <w:sz w:val="20"/>
          <w:szCs w:val="20"/>
        </w:rPr>
      </w:pPr>
    </w:p>
    <w:p w:rsidR="006458AB" w:rsidRDefault="006458AB" w:rsidP="006458AB">
      <w:pPr>
        <w:rPr>
          <w:rFonts w:ascii="Arial" w:hAnsi="Arial" w:cs="Arial"/>
          <w:sz w:val="20"/>
          <w:szCs w:val="20"/>
        </w:rPr>
      </w:pPr>
    </w:p>
    <w:p w:rsidR="006458AB" w:rsidRDefault="006458AB" w:rsidP="006458AB">
      <w:r>
        <w:t>More details can be referred to in the below link.</w:t>
      </w:r>
    </w:p>
    <w:p w:rsidR="006458AB" w:rsidRDefault="006458AB" w:rsidP="006458AB">
      <w:pPr>
        <w:rPr>
          <w:rFonts w:ascii="Arial" w:hAnsi="Arial" w:cs="Arial"/>
          <w:bCs/>
          <w:color w:val="000000"/>
          <w:sz w:val="20"/>
          <w:szCs w:val="20"/>
        </w:rPr>
      </w:pPr>
      <w:r>
        <w:rPr>
          <w:rFonts w:ascii="Arial" w:hAnsi="Arial" w:cs="Arial"/>
          <w:bCs/>
          <w:color w:val="000000"/>
          <w:sz w:val="20"/>
          <w:szCs w:val="20"/>
        </w:rPr>
        <w:t xml:space="preserve">Reference Link:  </w:t>
      </w:r>
      <w:hyperlink r:id="rId16" w:history="1">
        <w:r w:rsidRPr="006865D6">
          <w:rPr>
            <w:rStyle w:val="Hyperlink"/>
            <w:rFonts w:ascii="Arial" w:hAnsi="Arial" w:cs="Arial"/>
            <w:bCs/>
            <w:sz w:val="20"/>
            <w:szCs w:val="20"/>
          </w:rPr>
          <w:t>https://www.rbi.org.in/scripts/NotificationUser.aspx?Id=12351&amp;Mode=0</w:t>
        </w:r>
      </w:hyperlink>
    </w:p>
    <w:p w:rsidR="006458AB" w:rsidRDefault="006458AB" w:rsidP="008C7A02">
      <w:pPr>
        <w:jc w:val="both"/>
        <w:rPr>
          <w:rFonts w:ascii="Arial" w:hAnsi="Arial" w:cs="Arial"/>
          <w:b/>
          <w:bCs/>
          <w:color w:val="000000"/>
          <w:sz w:val="20"/>
          <w:szCs w:val="20"/>
        </w:rPr>
      </w:pPr>
    </w:p>
    <w:p w:rsidR="006458AB" w:rsidRDefault="006458AB" w:rsidP="008C7A02">
      <w:pPr>
        <w:jc w:val="both"/>
        <w:rPr>
          <w:rFonts w:ascii="Arial" w:hAnsi="Arial" w:cs="Arial"/>
          <w:b/>
          <w:bCs/>
          <w:color w:val="000000"/>
          <w:sz w:val="20"/>
          <w:szCs w:val="20"/>
        </w:rPr>
      </w:pPr>
    </w:p>
    <w:p w:rsidR="006458AB" w:rsidRDefault="006458AB" w:rsidP="008C7A02">
      <w:pPr>
        <w:jc w:val="both"/>
        <w:rPr>
          <w:rFonts w:ascii="Arial" w:hAnsi="Arial" w:cs="Arial"/>
          <w:b/>
          <w:bCs/>
          <w:color w:val="000000"/>
          <w:sz w:val="20"/>
          <w:szCs w:val="20"/>
        </w:rPr>
      </w:pPr>
    </w:p>
    <w:p w:rsidR="006458AB" w:rsidRDefault="006458AB" w:rsidP="006458AB">
      <w:pPr>
        <w:spacing w:after="0"/>
        <w:jc w:val="both"/>
        <w:rPr>
          <w:rFonts w:ascii="Arial" w:hAnsi="Arial" w:cs="Arial"/>
          <w:b/>
          <w:bCs/>
          <w:color w:val="000000"/>
          <w:sz w:val="20"/>
          <w:szCs w:val="20"/>
        </w:rPr>
      </w:pPr>
      <w:r>
        <w:rPr>
          <w:rFonts w:ascii="Arial" w:hAnsi="Arial" w:cs="Arial"/>
          <w:b/>
          <w:bCs/>
          <w:color w:val="000000"/>
          <w:sz w:val="20"/>
          <w:szCs w:val="20"/>
        </w:rPr>
        <w:lastRenderedPageBreak/>
        <w:t>Investment by Foreign Portfolio Investors (FPI) in Debt - Relaxations</w:t>
      </w:r>
    </w:p>
    <w:p w:rsidR="006458AB" w:rsidRDefault="006458AB" w:rsidP="006458AB">
      <w:pPr>
        <w:pStyle w:val="NormalWeb"/>
        <w:jc w:val="both"/>
        <w:rPr>
          <w:rFonts w:ascii="Arial" w:hAnsi="Arial" w:cs="Arial"/>
          <w:color w:val="000000"/>
          <w:sz w:val="20"/>
          <w:szCs w:val="20"/>
        </w:rPr>
      </w:pPr>
      <w:r>
        <w:rPr>
          <w:rFonts w:ascii="Arial" w:hAnsi="Arial" w:cs="Arial"/>
          <w:color w:val="000000"/>
          <w:sz w:val="20"/>
          <w:szCs w:val="20"/>
        </w:rPr>
        <w:t>RBI/2022-23/87</w:t>
      </w:r>
      <w:r>
        <w:rPr>
          <w:rFonts w:ascii="Arial" w:hAnsi="Arial" w:cs="Arial"/>
          <w:color w:val="000000"/>
          <w:sz w:val="20"/>
          <w:szCs w:val="20"/>
        </w:rPr>
        <w:br/>
        <w:t>A.P. (DIR Series) Circular No.07</w:t>
      </w:r>
    </w:p>
    <w:p w:rsidR="006458AB" w:rsidRDefault="006458AB" w:rsidP="006458AB">
      <w:pPr>
        <w:pStyle w:val="NormalWeb"/>
        <w:jc w:val="right"/>
        <w:rPr>
          <w:rFonts w:ascii="Arial" w:hAnsi="Arial" w:cs="Arial"/>
          <w:color w:val="000000"/>
          <w:sz w:val="20"/>
          <w:szCs w:val="20"/>
        </w:rPr>
      </w:pPr>
      <w:r>
        <w:rPr>
          <w:rFonts w:ascii="Arial" w:hAnsi="Arial" w:cs="Arial"/>
          <w:color w:val="000000"/>
          <w:sz w:val="20"/>
          <w:szCs w:val="20"/>
        </w:rPr>
        <w:t>July 07, 2022</w:t>
      </w:r>
    </w:p>
    <w:p w:rsidR="006458AB" w:rsidRDefault="006458AB" w:rsidP="006458AB">
      <w:pPr>
        <w:pStyle w:val="NormalWeb"/>
        <w:jc w:val="both"/>
        <w:rPr>
          <w:rFonts w:ascii="Arial" w:hAnsi="Arial" w:cs="Arial"/>
          <w:color w:val="000000"/>
          <w:sz w:val="20"/>
          <w:szCs w:val="20"/>
        </w:rPr>
      </w:pPr>
      <w:r>
        <w:rPr>
          <w:rFonts w:ascii="Arial" w:hAnsi="Arial" w:cs="Arial"/>
          <w:color w:val="000000"/>
          <w:sz w:val="20"/>
          <w:szCs w:val="20"/>
        </w:rPr>
        <w:t>To</w:t>
      </w:r>
      <w:r>
        <w:rPr>
          <w:rFonts w:ascii="Arial" w:hAnsi="Arial" w:cs="Arial"/>
          <w:color w:val="000000"/>
          <w:sz w:val="20"/>
          <w:szCs w:val="20"/>
        </w:rPr>
        <w:br/>
        <w:t>All Authorised Persons</w:t>
      </w:r>
    </w:p>
    <w:p w:rsidR="006458AB" w:rsidRDefault="006458AB" w:rsidP="006458AB">
      <w:pPr>
        <w:pStyle w:val="NormalWeb"/>
        <w:jc w:val="both"/>
        <w:rPr>
          <w:rFonts w:ascii="Arial" w:hAnsi="Arial" w:cs="Arial"/>
          <w:color w:val="000000"/>
          <w:sz w:val="20"/>
          <w:szCs w:val="20"/>
        </w:rPr>
      </w:pPr>
      <w:r>
        <w:rPr>
          <w:rFonts w:ascii="Arial" w:hAnsi="Arial" w:cs="Arial"/>
          <w:color w:val="000000"/>
          <w:sz w:val="20"/>
          <w:szCs w:val="20"/>
        </w:rPr>
        <w:t>Madam/Sir,</w:t>
      </w:r>
    </w:p>
    <w:p w:rsidR="006458AB" w:rsidRDefault="006458AB" w:rsidP="006458AB">
      <w:pPr>
        <w:pStyle w:val="head"/>
        <w:jc w:val="both"/>
        <w:rPr>
          <w:rFonts w:ascii="Arial" w:hAnsi="Arial" w:cs="Arial"/>
          <w:b/>
          <w:bCs/>
          <w:color w:val="000000"/>
          <w:sz w:val="20"/>
          <w:szCs w:val="20"/>
        </w:rPr>
      </w:pPr>
      <w:r>
        <w:rPr>
          <w:rFonts w:ascii="Arial" w:hAnsi="Arial" w:cs="Arial"/>
          <w:b/>
          <w:bCs/>
          <w:color w:val="000000"/>
          <w:sz w:val="20"/>
          <w:szCs w:val="20"/>
        </w:rPr>
        <w:t>Investment by Foreign Portfolio Investors (FPI) in Debt - Relaxations</w:t>
      </w:r>
    </w:p>
    <w:p w:rsidR="006458AB" w:rsidRDefault="006458AB" w:rsidP="006458AB">
      <w:pPr>
        <w:pStyle w:val="NormalWeb"/>
        <w:jc w:val="both"/>
        <w:rPr>
          <w:rFonts w:ascii="Arial" w:hAnsi="Arial" w:cs="Arial"/>
          <w:color w:val="000000"/>
          <w:sz w:val="20"/>
          <w:szCs w:val="20"/>
        </w:rPr>
      </w:pPr>
      <w:r>
        <w:rPr>
          <w:rFonts w:ascii="Arial" w:hAnsi="Arial" w:cs="Arial"/>
          <w:color w:val="000000"/>
          <w:sz w:val="20"/>
          <w:szCs w:val="20"/>
        </w:rPr>
        <w:t>Attention of Authorised Dealer Category-I (AD Category-I) banks is invited to the paragraph 3 of the </w:t>
      </w:r>
      <w:hyperlink r:id="rId17" w:tgtFrame="_blank" w:history="1">
        <w:r>
          <w:rPr>
            <w:rStyle w:val="Hyperlink"/>
            <w:rFonts w:ascii="Arial" w:hAnsi="Arial" w:cs="Arial"/>
            <w:sz w:val="20"/>
            <w:szCs w:val="20"/>
          </w:rPr>
          <w:t>press release on “Liberalisation of Forex Flows” dated July 06, 2022</w:t>
        </w:r>
      </w:hyperlink>
      <w:r>
        <w:rPr>
          <w:rFonts w:ascii="Arial" w:hAnsi="Arial" w:cs="Arial"/>
          <w:color w:val="000000"/>
          <w:sz w:val="20"/>
          <w:szCs w:val="20"/>
        </w:rPr>
        <w:t> regarding relaxations in the regulatory regime under the Medium-Term Framework. A reference is also invited to:</w:t>
      </w:r>
    </w:p>
    <w:p w:rsidR="006458AB" w:rsidRDefault="006458AB" w:rsidP="00DA1141">
      <w:pPr>
        <w:pStyle w:val="NormalWeb"/>
        <w:numPr>
          <w:ilvl w:val="0"/>
          <w:numId w:val="3"/>
        </w:numPr>
        <w:ind w:left="0"/>
        <w:jc w:val="both"/>
        <w:rPr>
          <w:rFonts w:ascii="Arial" w:hAnsi="Arial" w:cs="Arial"/>
          <w:color w:val="000000"/>
          <w:sz w:val="20"/>
          <w:szCs w:val="20"/>
        </w:rPr>
      </w:pPr>
      <w:r>
        <w:rPr>
          <w:rFonts w:ascii="Arial" w:hAnsi="Arial" w:cs="Arial"/>
          <w:color w:val="000000"/>
          <w:sz w:val="20"/>
          <w:szCs w:val="20"/>
        </w:rPr>
        <w:t>the Foreign Exchange Management (Debt Instruments) Regulations, 2019 notified vide </w:t>
      </w:r>
      <w:hyperlink r:id="rId18" w:tgtFrame="_blank" w:history="1">
        <w:r>
          <w:rPr>
            <w:rStyle w:val="Hyperlink"/>
            <w:rFonts w:ascii="Arial" w:hAnsi="Arial" w:cs="Arial"/>
            <w:sz w:val="20"/>
            <w:szCs w:val="20"/>
          </w:rPr>
          <w:t>Notification No. FEMA. 396/2019-RB dated October 17, 2019</w:t>
        </w:r>
      </w:hyperlink>
      <w:r>
        <w:rPr>
          <w:rFonts w:ascii="Arial" w:hAnsi="Arial" w:cs="Arial"/>
          <w:color w:val="000000"/>
          <w:sz w:val="20"/>
          <w:szCs w:val="20"/>
        </w:rPr>
        <w:t>, as amended from time to time, and the relevant directions issued thereunder; and</w:t>
      </w:r>
    </w:p>
    <w:p w:rsidR="006458AB" w:rsidRDefault="006458AB" w:rsidP="00DA1141">
      <w:pPr>
        <w:pStyle w:val="NormalWeb"/>
        <w:numPr>
          <w:ilvl w:val="0"/>
          <w:numId w:val="3"/>
        </w:numPr>
        <w:ind w:left="0"/>
        <w:jc w:val="both"/>
        <w:rPr>
          <w:rFonts w:ascii="Arial" w:hAnsi="Arial" w:cs="Arial"/>
          <w:color w:val="000000"/>
          <w:sz w:val="20"/>
          <w:szCs w:val="20"/>
        </w:rPr>
      </w:pPr>
      <w:r>
        <w:rPr>
          <w:rFonts w:ascii="Arial" w:hAnsi="Arial" w:cs="Arial"/>
          <w:color w:val="000000"/>
          <w:sz w:val="20"/>
          <w:szCs w:val="20"/>
        </w:rPr>
        <w:t>the </w:t>
      </w:r>
      <w:hyperlink r:id="rId19" w:tgtFrame="_blank" w:history="1">
        <w:r>
          <w:rPr>
            <w:rStyle w:val="Hyperlink"/>
            <w:rFonts w:ascii="Arial" w:hAnsi="Arial" w:cs="Arial"/>
            <w:sz w:val="20"/>
            <w:szCs w:val="20"/>
          </w:rPr>
          <w:t>A.P. (DIR Series) Circular No. 31 dated June 15, 2018</w:t>
        </w:r>
      </w:hyperlink>
      <w:r>
        <w:rPr>
          <w:rFonts w:ascii="Arial" w:hAnsi="Arial" w:cs="Arial"/>
          <w:color w:val="000000"/>
          <w:sz w:val="20"/>
          <w:szCs w:val="20"/>
        </w:rPr>
        <w:t> (hereinafter, Directions), as amended from time to time.</w:t>
      </w:r>
    </w:p>
    <w:p w:rsidR="006458AB" w:rsidRDefault="006458AB" w:rsidP="006458AB">
      <w:pPr>
        <w:pStyle w:val="NormalWeb"/>
        <w:jc w:val="both"/>
        <w:rPr>
          <w:rFonts w:ascii="Arial" w:hAnsi="Arial" w:cs="Arial"/>
          <w:color w:val="000000"/>
          <w:sz w:val="20"/>
          <w:szCs w:val="20"/>
        </w:rPr>
      </w:pPr>
      <w:r>
        <w:rPr>
          <w:rFonts w:ascii="Arial" w:hAnsi="Arial" w:cs="Arial"/>
          <w:color w:val="000000"/>
          <w:sz w:val="20"/>
          <w:szCs w:val="20"/>
        </w:rPr>
        <w:t>2. In terms of paragraphs 4(b)(i) and 4(b)(ii) of the Directions, short-term investments by an FPI in government securities (Central Government securities, including Treasury Bills and State Development Loans) and corporate bonds shall not exceed 30% of the total investment of that FPI in any category. It has been decided that investments by FPIs in government securities and corporate bonds made between July 08, 2022 and October 31, 2022 (both dates included) shall be exempted from the limit on short-term investments till maturity or sale of such investments.</w:t>
      </w:r>
    </w:p>
    <w:p w:rsidR="006458AB" w:rsidRDefault="006458AB" w:rsidP="006458AB">
      <w:pPr>
        <w:pStyle w:val="NormalWeb"/>
        <w:jc w:val="both"/>
        <w:rPr>
          <w:rFonts w:ascii="Arial" w:hAnsi="Arial" w:cs="Arial"/>
          <w:color w:val="000000"/>
          <w:sz w:val="20"/>
          <w:szCs w:val="20"/>
        </w:rPr>
      </w:pPr>
      <w:r>
        <w:rPr>
          <w:rFonts w:ascii="Arial" w:hAnsi="Arial" w:cs="Arial"/>
          <w:color w:val="000000"/>
          <w:sz w:val="20"/>
          <w:szCs w:val="20"/>
        </w:rPr>
        <w:t>3. In terms of paragraph 4(b)(ii) of the Directions, FPI investments in corporate bonds were subject to a minimum residual maturity requirement of one year. It has been decided to allow FPIs to invest in commercial papers and non-convertible debentures with an original maturity of up to one year, during the period between July 08, 2022 and October 31, 2022 (both dates included). These investments shall be exempted from the limit on short-term investments till maturity or sale of such investments.</w:t>
      </w:r>
    </w:p>
    <w:p w:rsidR="006458AB" w:rsidRDefault="006458AB" w:rsidP="006458AB">
      <w:pPr>
        <w:pStyle w:val="NormalWeb"/>
        <w:jc w:val="both"/>
        <w:rPr>
          <w:rFonts w:ascii="Arial" w:hAnsi="Arial" w:cs="Arial"/>
          <w:color w:val="000000"/>
          <w:sz w:val="20"/>
          <w:szCs w:val="20"/>
        </w:rPr>
      </w:pPr>
      <w:r>
        <w:rPr>
          <w:rFonts w:ascii="Arial" w:hAnsi="Arial" w:cs="Arial"/>
          <w:color w:val="000000"/>
          <w:sz w:val="20"/>
          <w:szCs w:val="20"/>
        </w:rPr>
        <w:t xml:space="preserve">4. AD Category – I </w:t>
      </w:r>
      <w:proofErr w:type="gramStart"/>
      <w:r>
        <w:rPr>
          <w:rFonts w:ascii="Arial" w:hAnsi="Arial" w:cs="Arial"/>
          <w:color w:val="000000"/>
          <w:sz w:val="20"/>
          <w:szCs w:val="20"/>
        </w:rPr>
        <w:t>banks</w:t>
      </w:r>
      <w:proofErr w:type="gramEnd"/>
      <w:r>
        <w:rPr>
          <w:rFonts w:ascii="Arial" w:hAnsi="Arial" w:cs="Arial"/>
          <w:color w:val="000000"/>
          <w:sz w:val="20"/>
          <w:szCs w:val="20"/>
        </w:rPr>
        <w:t xml:space="preserve"> may bring the contents of this circular to the notice of their constituents and customers concerned.</w:t>
      </w:r>
    </w:p>
    <w:p w:rsidR="006458AB" w:rsidRDefault="006458AB" w:rsidP="006458AB">
      <w:pPr>
        <w:pStyle w:val="NormalWeb"/>
        <w:jc w:val="both"/>
        <w:rPr>
          <w:rFonts w:ascii="Arial" w:hAnsi="Arial" w:cs="Arial"/>
          <w:color w:val="000000"/>
          <w:sz w:val="20"/>
          <w:szCs w:val="20"/>
        </w:rPr>
      </w:pPr>
      <w:r>
        <w:rPr>
          <w:rFonts w:ascii="Arial" w:hAnsi="Arial" w:cs="Arial"/>
          <w:color w:val="000000"/>
          <w:sz w:val="20"/>
          <w:szCs w:val="20"/>
        </w:rPr>
        <w:t>5. The Directions contained in this circular have been issued under sections 10(4) and 11(1) of the Foreign Exchange Management Act, 1999 (42 of 1999) and are without prejudice to permissions/approval, if any, required under any other law.</w:t>
      </w:r>
    </w:p>
    <w:p w:rsidR="006458AB" w:rsidRPr="002C55B6" w:rsidRDefault="006458AB" w:rsidP="006458AB">
      <w:pPr>
        <w:pStyle w:val="NormalWeb"/>
        <w:jc w:val="both"/>
        <w:rPr>
          <w:rFonts w:ascii="Arial" w:hAnsi="Arial" w:cs="Arial"/>
          <w:color w:val="000000"/>
          <w:sz w:val="20"/>
          <w:szCs w:val="20"/>
        </w:rPr>
      </w:pPr>
      <w:r>
        <w:rPr>
          <w:rFonts w:ascii="Arial" w:hAnsi="Arial" w:cs="Arial"/>
          <w:color w:val="000000"/>
          <w:sz w:val="20"/>
          <w:szCs w:val="20"/>
        </w:rPr>
        <w:t>6. These Directions shall be applicable with immediate effect.</w:t>
      </w:r>
    </w:p>
    <w:p w:rsidR="006458AB" w:rsidRPr="00FB49BF" w:rsidRDefault="006458AB" w:rsidP="006458AB">
      <w:pPr>
        <w:spacing w:after="0"/>
        <w:rPr>
          <w:rFonts w:ascii="Arial" w:hAnsi="Arial" w:cs="Arial"/>
          <w:sz w:val="20"/>
          <w:szCs w:val="20"/>
        </w:rPr>
      </w:pPr>
      <w:r w:rsidRPr="00FB49BF">
        <w:rPr>
          <w:rFonts w:ascii="Arial" w:hAnsi="Arial" w:cs="Arial"/>
          <w:sz w:val="20"/>
          <w:szCs w:val="20"/>
        </w:rPr>
        <w:t>Yours faithfully,</w:t>
      </w:r>
    </w:p>
    <w:p w:rsidR="006458AB" w:rsidRPr="00FB49BF" w:rsidRDefault="006458AB" w:rsidP="006458AB">
      <w:pPr>
        <w:spacing w:after="0"/>
        <w:rPr>
          <w:rFonts w:ascii="Arial" w:hAnsi="Arial" w:cs="Arial"/>
          <w:sz w:val="20"/>
          <w:szCs w:val="20"/>
        </w:rPr>
      </w:pPr>
      <w:r w:rsidRPr="00FB49BF">
        <w:rPr>
          <w:rFonts w:ascii="Arial" w:hAnsi="Arial" w:cs="Arial"/>
          <w:sz w:val="20"/>
          <w:szCs w:val="20"/>
        </w:rPr>
        <w:t xml:space="preserve">(Dimple </w:t>
      </w:r>
      <w:proofErr w:type="spellStart"/>
      <w:r w:rsidRPr="00FB49BF">
        <w:rPr>
          <w:rFonts w:ascii="Arial" w:hAnsi="Arial" w:cs="Arial"/>
          <w:sz w:val="20"/>
          <w:szCs w:val="20"/>
        </w:rPr>
        <w:t>Bhandia</w:t>
      </w:r>
      <w:proofErr w:type="spellEnd"/>
      <w:r w:rsidRPr="00FB49BF">
        <w:rPr>
          <w:rFonts w:ascii="Arial" w:hAnsi="Arial" w:cs="Arial"/>
          <w:sz w:val="20"/>
          <w:szCs w:val="20"/>
        </w:rPr>
        <w:t>)</w:t>
      </w:r>
    </w:p>
    <w:p w:rsidR="006458AB" w:rsidRPr="00FB49BF" w:rsidRDefault="006458AB" w:rsidP="006458AB">
      <w:pPr>
        <w:spacing w:after="0"/>
        <w:rPr>
          <w:rFonts w:ascii="Arial" w:hAnsi="Arial" w:cs="Arial"/>
          <w:sz w:val="20"/>
          <w:szCs w:val="20"/>
        </w:rPr>
      </w:pPr>
      <w:r w:rsidRPr="00FB49BF">
        <w:rPr>
          <w:rFonts w:ascii="Arial" w:hAnsi="Arial" w:cs="Arial"/>
          <w:sz w:val="20"/>
          <w:szCs w:val="20"/>
        </w:rPr>
        <w:t>Chief General Manager</w:t>
      </w:r>
    </w:p>
    <w:p w:rsidR="006458AB" w:rsidRDefault="006458AB" w:rsidP="006458AB"/>
    <w:p w:rsidR="006458AB" w:rsidRDefault="006458AB" w:rsidP="006458AB">
      <w:r>
        <w:t>More details can be referred to in the below link.</w:t>
      </w:r>
    </w:p>
    <w:p w:rsidR="006458AB" w:rsidRDefault="006458AB" w:rsidP="006458AB">
      <w:pPr>
        <w:jc w:val="both"/>
        <w:rPr>
          <w:rStyle w:val="Hyperlink"/>
          <w:rFonts w:ascii="Arial" w:hAnsi="Arial" w:cs="Arial"/>
          <w:bCs/>
          <w:sz w:val="20"/>
          <w:szCs w:val="20"/>
        </w:rPr>
      </w:pPr>
      <w:r>
        <w:rPr>
          <w:rFonts w:ascii="Arial" w:hAnsi="Arial" w:cs="Arial"/>
          <w:bCs/>
          <w:color w:val="000000"/>
          <w:sz w:val="20"/>
          <w:szCs w:val="20"/>
        </w:rPr>
        <w:t xml:space="preserve">Reference Link </w:t>
      </w:r>
      <w:hyperlink r:id="rId20" w:history="1">
        <w:r w:rsidRPr="00200311">
          <w:rPr>
            <w:rStyle w:val="Hyperlink"/>
            <w:rFonts w:ascii="Arial" w:hAnsi="Arial" w:cs="Arial"/>
            <w:bCs/>
            <w:sz w:val="20"/>
            <w:szCs w:val="20"/>
          </w:rPr>
          <w:t>https://rbi.org.in/scripts/FS_Notification.aspx?Id=12355&amp;fn=6&amp;Mode=0</w:t>
        </w:r>
      </w:hyperlink>
    </w:p>
    <w:p w:rsidR="006458AB" w:rsidRDefault="006458AB" w:rsidP="006458AB">
      <w:pPr>
        <w:jc w:val="both"/>
        <w:rPr>
          <w:rStyle w:val="Hyperlink"/>
          <w:rFonts w:ascii="Arial" w:hAnsi="Arial" w:cs="Arial"/>
          <w:bCs/>
          <w:sz w:val="20"/>
          <w:szCs w:val="20"/>
        </w:rPr>
      </w:pPr>
    </w:p>
    <w:p w:rsidR="006458AB" w:rsidRDefault="006458AB" w:rsidP="006458AB">
      <w:pPr>
        <w:jc w:val="both"/>
        <w:rPr>
          <w:rStyle w:val="Hyperlink"/>
          <w:rFonts w:ascii="Arial" w:hAnsi="Arial" w:cs="Arial"/>
          <w:bCs/>
          <w:sz w:val="20"/>
          <w:szCs w:val="20"/>
        </w:rPr>
      </w:pPr>
    </w:p>
    <w:p w:rsidR="00BA0C06" w:rsidRDefault="00BA0C06" w:rsidP="00BA0C06">
      <w:pPr>
        <w:spacing w:after="0"/>
        <w:jc w:val="both"/>
        <w:rPr>
          <w:rFonts w:ascii="Arial" w:hAnsi="Arial" w:cs="Arial"/>
          <w:b/>
          <w:bCs/>
          <w:color w:val="000000"/>
          <w:sz w:val="20"/>
          <w:szCs w:val="20"/>
        </w:rPr>
      </w:pPr>
      <w:r>
        <w:rPr>
          <w:rFonts w:ascii="Arial" w:hAnsi="Arial" w:cs="Arial"/>
          <w:b/>
          <w:bCs/>
          <w:color w:val="000000"/>
          <w:sz w:val="20"/>
          <w:szCs w:val="20"/>
        </w:rPr>
        <w:lastRenderedPageBreak/>
        <w:t>Overseas foreign currency borrowings of Authorised Dealer Category-I banks</w:t>
      </w:r>
    </w:p>
    <w:p w:rsidR="00BA0C06" w:rsidRDefault="00BA0C06" w:rsidP="00BA0C06">
      <w:pPr>
        <w:spacing w:after="0"/>
        <w:jc w:val="both"/>
        <w:rPr>
          <w:rFonts w:ascii="Arial" w:hAnsi="Arial" w:cs="Arial"/>
          <w:b/>
          <w:bCs/>
          <w:color w:val="000000"/>
          <w:sz w:val="20"/>
          <w:szCs w:val="20"/>
        </w:rPr>
      </w:pPr>
    </w:p>
    <w:p w:rsidR="00BA0C06" w:rsidRDefault="00BA0C06" w:rsidP="00BA0C06">
      <w:pPr>
        <w:pStyle w:val="NormalWeb"/>
        <w:jc w:val="both"/>
        <w:rPr>
          <w:rFonts w:ascii="Arial" w:hAnsi="Arial" w:cs="Arial"/>
          <w:color w:val="000000"/>
          <w:sz w:val="20"/>
          <w:szCs w:val="20"/>
        </w:rPr>
      </w:pPr>
      <w:r>
        <w:rPr>
          <w:rFonts w:ascii="Arial" w:hAnsi="Arial" w:cs="Arial"/>
          <w:color w:val="000000"/>
          <w:sz w:val="20"/>
          <w:szCs w:val="20"/>
        </w:rPr>
        <w:t>RBI/2022-23/88</w:t>
      </w:r>
      <w:r>
        <w:rPr>
          <w:rFonts w:ascii="Arial" w:hAnsi="Arial" w:cs="Arial"/>
          <w:color w:val="000000"/>
          <w:sz w:val="20"/>
          <w:szCs w:val="20"/>
        </w:rPr>
        <w:br/>
        <w:t>A. P. (DIR Series) Circular No. 08</w:t>
      </w:r>
    </w:p>
    <w:p w:rsidR="00BA0C06" w:rsidRDefault="00BA0C06" w:rsidP="00BA0C06">
      <w:pPr>
        <w:pStyle w:val="NormalWeb"/>
        <w:jc w:val="right"/>
        <w:rPr>
          <w:rFonts w:ascii="Arial" w:hAnsi="Arial" w:cs="Arial"/>
          <w:color w:val="000000"/>
          <w:sz w:val="20"/>
          <w:szCs w:val="20"/>
        </w:rPr>
      </w:pPr>
      <w:r>
        <w:rPr>
          <w:rFonts w:ascii="Arial" w:hAnsi="Arial" w:cs="Arial"/>
          <w:color w:val="000000"/>
          <w:sz w:val="20"/>
          <w:szCs w:val="20"/>
        </w:rPr>
        <w:t>July 07, 2022</w:t>
      </w:r>
    </w:p>
    <w:p w:rsidR="00BA0C06" w:rsidRDefault="00BA0C06" w:rsidP="00BA0C06">
      <w:pPr>
        <w:pStyle w:val="NormalWeb"/>
        <w:jc w:val="both"/>
        <w:rPr>
          <w:rFonts w:ascii="Arial" w:hAnsi="Arial" w:cs="Arial"/>
          <w:color w:val="000000"/>
          <w:sz w:val="20"/>
          <w:szCs w:val="20"/>
        </w:rPr>
      </w:pPr>
      <w:r>
        <w:rPr>
          <w:rFonts w:ascii="Arial" w:hAnsi="Arial" w:cs="Arial"/>
          <w:color w:val="000000"/>
          <w:sz w:val="20"/>
          <w:szCs w:val="20"/>
        </w:rPr>
        <w:t>All Authorised Dealer Category-I Banks</w:t>
      </w:r>
    </w:p>
    <w:p w:rsidR="00BA0C06" w:rsidRDefault="00BA0C06" w:rsidP="00BA0C06">
      <w:pPr>
        <w:pStyle w:val="NormalWeb"/>
        <w:jc w:val="both"/>
        <w:rPr>
          <w:rFonts w:ascii="Arial" w:hAnsi="Arial" w:cs="Arial"/>
          <w:color w:val="000000"/>
          <w:sz w:val="20"/>
          <w:szCs w:val="20"/>
        </w:rPr>
      </w:pPr>
      <w:r>
        <w:rPr>
          <w:rFonts w:ascii="Arial" w:hAnsi="Arial" w:cs="Arial"/>
          <w:color w:val="000000"/>
          <w:sz w:val="20"/>
          <w:szCs w:val="20"/>
        </w:rPr>
        <w:t>Madam/Sir,</w:t>
      </w:r>
    </w:p>
    <w:p w:rsidR="00BA0C06" w:rsidRDefault="00BA0C06" w:rsidP="00BA0C06">
      <w:pPr>
        <w:pStyle w:val="head"/>
        <w:jc w:val="both"/>
        <w:rPr>
          <w:rFonts w:ascii="Arial" w:hAnsi="Arial" w:cs="Arial"/>
          <w:b/>
          <w:bCs/>
          <w:color w:val="000000"/>
          <w:sz w:val="20"/>
          <w:szCs w:val="20"/>
        </w:rPr>
      </w:pPr>
      <w:r>
        <w:rPr>
          <w:rFonts w:ascii="Arial" w:hAnsi="Arial" w:cs="Arial"/>
          <w:b/>
          <w:bCs/>
          <w:color w:val="000000"/>
          <w:sz w:val="20"/>
          <w:szCs w:val="20"/>
        </w:rPr>
        <w:t>Overseas foreign currency borrowings of Authorised Dealer Category-I banks</w:t>
      </w:r>
    </w:p>
    <w:p w:rsidR="00BA0C06" w:rsidRDefault="00BA0C06" w:rsidP="00BA0C06">
      <w:pPr>
        <w:pStyle w:val="NormalWeb"/>
        <w:jc w:val="both"/>
        <w:rPr>
          <w:rFonts w:ascii="Arial" w:hAnsi="Arial" w:cs="Arial"/>
          <w:color w:val="000000"/>
          <w:sz w:val="20"/>
          <w:szCs w:val="20"/>
        </w:rPr>
      </w:pPr>
      <w:r>
        <w:rPr>
          <w:rFonts w:ascii="Arial" w:hAnsi="Arial" w:cs="Arial"/>
          <w:color w:val="000000"/>
          <w:sz w:val="20"/>
          <w:szCs w:val="20"/>
        </w:rPr>
        <w:t>Attention of Authorised Dealer Category-I (AD Cat-I) banks is invited to the Foreign Exchange Management (Borrowing and Lending) Regulations, 2018 [</w:t>
      </w:r>
      <w:hyperlink r:id="rId21" w:tgtFrame="_blank" w:history="1">
        <w:r>
          <w:rPr>
            <w:rStyle w:val="Hyperlink"/>
            <w:rFonts w:ascii="Arial" w:hAnsi="Arial" w:cs="Arial"/>
            <w:sz w:val="20"/>
            <w:szCs w:val="20"/>
          </w:rPr>
          <w:t>Notification no. FEMA 3(R)/2018-RB dated December 17, 2018</w:t>
        </w:r>
      </w:hyperlink>
      <w:r>
        <w:rPr>
          <w:rFonts w:ascii="Arial" w:hAnsi="Arial" w:cs="Arial"/>
          <w:color w:val="000000"/>
          <w:sz w:val="20"/>
          <w:szCs w:val="20"/>
        </w:rPr>
        <w:t>] and </w:t>
      </w:r>
      <w:hyperlink r:id="rId22" w:tgtFrame="_blank" w:history="1">
        <w:r>
          <w:rPr>
            <w:rStyle w:val="Hyperlink"/>
            <w:rFonts w:ascii="Arial" w:hAnsi="Arial" w:cs="Arial"/>
            <w:sz w:val="20"/>
            <w:szCs w:val="20"/>
          </w:rPr>
          <w:t>Master Direction - Risk Management and Inter-Bank Dealings dated July 05, 2016</w:t>
        </w:r>
      </w:hyperlink>
      <w:r>
        <w:rPr>
          <w:rFonts w:ascii="Arial" w:hAnsi="Arial" w:cs="Arial"/>
          <w:color w:val="000000"/>
          <w:sz w:val="20"/>
          <w:szCs w:val="20"/>
        </w:rPr>
        <w:t>, as amended from time to time.</w:t>
      </w:r>
    </w:p>
    <w:p w:rsidR="00BA0C06" w:rsidRDefault="00BA0C06" w:rsidP="00BA0C06">
      <w:pPr>
        <w:pStyle w:val="NormalWeb"/>
        <w:jc w:val="both"/>
        <w:rPr>
          <w:rFonts w:ascii="Arial" w:hAnsi="Arial" w:cs="Arial"/>
          <w:color w:val="000000"/>
          <w:sz w:val="20"/>
          <w:szCs w:val="20"/>
        </w:rPr>
      </w:pPr>
      <w:r>
        <w:rPr>
          <w:rFonts w:ascii="Arial" w:hAnsi="Arial" w:cs="Arial"/>
          <w:color w:val="000000"/>
          <w:sz w:val="20"/>
          <w:szCs w:val="20"/>
        </w:rPr>
        <w:t>2. As announced in paragraph 4 of the </w:t>
      </w:r>
      <w:hyperlink r:id="rId23" w:tgtFrame="_blank" w:history="1">
        <w:r>
          <w:rPr>
            <w:rStyle w:val="Hyperlink"/>
            <w:rFonts w:ascii="Arial" w:hAnsi="Arial" w:cs="Arial"/>
            <w:sz w:val="20"/>
            <w:szCs w:val="20"/>
          </w:rPr>
          <w:t>press release on “Liberalisation of Forex Flows” dated July 06, 2022</w:t>
        </w:r>
      </w:hyperlink>
      <w:r>
        <w:rPr>
          <w:rFonts w:ascii="Arial" w:hAnsi="Arial" w:cs="Arial"/>
          <w:color w:val="000000"/>
          <w:sz w:val="20"/>
          <w:szCs w:val="20"/>
        </w:rPr>
        <w:t>, AD Cat-I banks can utilise the funds raised from overseas foreign currency borrowings between July 08, 2022 and October 31, 2022 (both dates included) in terms of paragraph Part-C(5)(a) of the </w:t>
      </w:r>
      <w:hyperlink r:id="rId24" w:tgtFrame="_blank" w:history="1">
        <w:r>
          <w:rPr>
            <w:rStyle w:val="Hyperlink"/>
            <w:rFonts w:ascii="Arial" w:hAnsi="Arial" w:cs="Arial"/>
            <w:sz w:val="20"/>
            <w:szCs w:val="20"/>
          </w:rPr>
          <w:t>Master Direction - Risk Management and Inter-Bank Dealings dated July 05, 2016</w:t>
        </w:r>
      </w:hyperlink>
      <w:r>
        <w:rPr>
          <w:rFonts w:ascii="Arial" w:hAnsi="Arial" w:cs="Arial"/>
          <w:color w:val="000000"/>
          <w:sz w:val="20"/>
          <w:szCs w:val="20"/>
        </w:rPr>
        <w:t>, as amended from time to time, for lending in foreign currency to constituents in India. Such lending shall be subject to the end-use prescriptions as applicable to External Commercial Borrowings (ECBs) in terms of paragraph 2.1(viii) of the </w:t>
      </w:r>
      <w:hyperlink r:id="rId25" w:tgtFrame="_blank" w:history="1">
        <w:r>
          <w:rPr>
            <w:rStyle w:val="Hyperlink"/>
            <w:rFonts w:ascii="Arial" w:hAnsi="Arial" w:cs="Arial"/>
            <w:sz w:val="20"/>
            <w:szCs w:val="20"/>
          </w:rPr>
          <w:t>Master Direction - External Commercial Borrowings, Trade Credits and Structured Obligations dated March 26, 2019</w:t>
        </w:r>
      </w:hyperlink>
      <w:r>
        <w:rPr>
          <w:rFonts w:ascii="Arial" w:hAnsi="Arial" w:cs="Arial"/>
          <w:color w:val="000000"/>
          <w:sz w:val="20"/>
          <w:szCs w:val="20"/>
        </w:rPr>
        <w:t>, as amended from time to time. This facility will be available till the maturity / repayment of the overseas foreign currency borrowings.</w:t>
      </w:r>
    </w:p>
    <w:p w:rsidR="00BA0C06" w:rsidRDefault="00BA0C06" w:rsidP="00BA0C06">
      <w:pPr>
        <w:pStyle w:val="NormalWeb"/>
        <w:jc w:val="both"/>
        <w:rPr>
          <w:rFonts w:ascii="Arial" w:hAnsi="Arial" w:cs="Arial"/>
          <w:color w:val="000000"/>
          <w:sz w:val="20"/>
          <w:szCs w:val="20"/>
        </w:rPr>
      </w:pPr>
      <w:r>
        <w:rPr>
          <w:rFonts w:ascii="Arial" w:hAnsi="Arial" w:cs="Arial"/>
          <w:color w:val="000000"/>
          <w:sz w:val="20"/>
          <w:szCs w:val="20"/>
        </w:rPr>
        <w:t>3. The directions contained in this circular have been issued under Sections 10(4) and 11(1) of the Foreign Exchange Management Act, 1999 (42 of 1999) and are without prejudice to permissions / approvals, if any, required under any other law.</w:t>
      </w:r>
    </w:p>
    <w:p w:rsidR="00BA0C06" w:rsidRDefault="00BA0C06" w:rsidP="00BA0C0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Yours faithfully,</w:t>
      </w:r>
    </w:p>
    <w:p w:rsidR="00BA0C06" w:rsidRPr="001B0D06" w:rsidRDefault="00BA0C06" w:rsidP="00BA0C0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rsidR="00BA0C06" w:rsidRDefault="00BA0C06" w:rsidP="00BA0C06"/>
    <w:p w:rsidR="00BA0C06" w:rsidRDefault="00BA0C06" w:rsidP="00BA0C06"/>
    <w:p w:rsidR="00BA0C06" w:rsidRDefault="00BA0C06" w:rsidP="00BA0C06">
      <w:r>
        <w:t>More details can be referred to in the below link.</w:t>
      </w:r>
    </w:p>
    <w:p w:rsidR="00BA0C06" w:rsidRDefault="00BA0C06" w:rsidP="00BA0C06">
      <w:pPr>
        <w:spacing w:after="0"/>
        <w:jc w:val="both"/>
        <w:rPr>
          <w:rFonts w:ascii="Arial" w:hAnsi="Arial" w:cs="Arial"/>
          <w:sz w:val="20"/>
          <w:szCs w:val="20"/>
        </w:rPr>
      </w:pPr>
    </w:p>
    <w:p w:rsidR="00BA0C06" w:rsidRDefault="00BA0C06" w:rsidP="00BA0C06">
      <w:pPr>
        <w:spacing w:after="0"/>
        <w:jc w:val="both"/>
        <w:rPr>
          <w:rFonts w:ascii="Arial" w:hAnsi="Arial" w:cs="Arial"/>
          <w:sz w:val="20"/>
          <w:szCs w:val="20"/>
        </w:rPr>
      </w:pPr>
      <w:r>
        <w:rPr>
          <w:rFonts w:ascii="Arial" w:hAnsi="Arial" w:cs="Arial"/>
          <w:sz w:val="20"/>
          <w:szCs w:val="20"/>
        </w:rPr>
        <w:t>Reference Link:</w:t>
      </w:r>
      <w:r w:rsidRPr="00121B22">
        <w:t xml:space="preserve"> </w:t>
      </w:r>
      <w:hyperlink r:id="rId26" w:history="1">
        <w:r w:rsidRPr="00200311">
          <w:rPr>
            <w:rStyle w:val="Hyperlink"/>
            <w:rFonts w:ascii="Arial" w:hAnsi="Arial" w:cs="Arial"/>
            <w:sz w:val="20"/>
            <w:szCs w:val="20"/>
          </w:rPr>
          <w:t>https://www.rbi.org.in/scripts/NotificationUser.aspx?Id=12356&amp;Mode=0</w:t>
        </w:r>
      </w:hyperlink>
    </w:p>
    <w:p w:rsidR="00BA0C06" w:rsidRDefault="00BA0C06" w:rsidP="00BA0C06">
      <w:pPr>
        <w:spacing w:after="0"/>
        <w:jc w:val="both"/>
        <w:rPr>
          <w:rFonts w:ascii="Arial" w:hAnsi="Arial" w:cs="Arial"/>
          <w:sz w:val="20"/>
          <w:szCs w:val="20"/>
        </w:rPr>
      </w:pPr>
    </w:p>
    <w:p w:rsidR="00BA0C06" w:rsidRDefault="00BA0C06" w:rsidP="00BA0C06">
      <w:pPr>
        <w:spacing w:after="0"/>
        <w:jc w:val="both"/>
        <w:rPr>
          <w:rFonts w:ascii="Arial" w:hAnsi="Arial" w:cs="Arial"/>
          <w:sz w:val="20"/>
          <w:szCs w:val="20"/>
        </w:rPr>
      </w:pPr>
    </w:p>
    <w:p w:rsidR="00BA0C06" w:rsidRDefault="00BA0C06" w:rsidP="00BA0C06">
      <w:pPr>
        <w:spacing w:after="0"/>
        <w:jc w:val="both"/>
        <w:rPr>
          <w:rFonts w:ascii="Arial" w:hAnsi="Arial" w:cs="Arial"/>
          <w:sz w:val="20"/>
          <w:szCs w:val="20"/>
        </w:rPr>
      </w:pPr>
    </w:p>
    <w:p w:rsidR="00BA0C06" w:rsidRDefault="00BA0C06" w:rsidP="00BA0C06">
      <w:pPr>
        <w:spacing w:after="0"/>
        <w:jc w:val="both"/>
        <w:rPr>
          <w:rFonts w:ascii="Arial" w:hAnsi="Arial" w:cs="Arial"/>
          <w:sz w:val="20"/>
          <w:szCs w:val="20"/>
        </w:rPr>
      </w:pPr>
    </w:p>
    <w:p w:rsidR="00BA0C06" w:rsidRDefault="00BA0C06" w:rsidP="00BA0C06">
      <w:pPr>
        <w:rPr>
          <w:rFonts w:ascii="Arial" w:hAnsi="Arial" w:cs="Arial"/>
          <w:b/>
          <w:bCs/>
          <w:color w:val="000000"/>
          <w:sz w:val="20"/>
          <w:szCs w:val="20"/>
        </w:rPr>
      </w:pPr>
      <w:r>
        <w:br w:type="page"/>
      </w:r>
      <w:r>
        <w:rPr>
          <w:rFonts w:ascii="Arial" w:hAnsi="Arial" w:cs="Arial"/>
          <w:b/>
          <w:bCs/>
          <w:color w:val="000000"/>
          <w:sz w:val="20"/>
          <w:szCs w:val="20"/>
        </w:rPr>
        <w:lastRenderedPageBreak/>
        <w:t>International Trade Settlement in Indian Rupees (INR)</w:t>
      </w:r>
    </w:p>
    <w:p w:rsidR="00BA0C06" w:rsidRPr="001E7AD4" w:rsidRDefault="00BA0C06" w:rsidP="00BA0C06">
      <w:pPr>
        <w:spacing w:before="100" w:beforeAutospacing="1" w:after="100" w:afterAutospacing="1" w:line="240" w:lineRule="auto"/>
        <w:jc w:val="both"/>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RBI/2022-2023/90</w:t>
      </w:r>
      <w:r w:rsidRPr="001E7AD4">
        <w:rPr>
          <w:rFonts w:ascii="Arial" w:eastAsia="Times New Roman" w:hAnsi="Arial" w:cs="Arial"/>
          <w:color w:val="000000"/>
          <w:sz w:val="20"/>
          <w:szCs w:val="20"/>
          <w:lang w:eastAsia="en-IN"/>
        </w:rPr>
        <w:br/>
        <w:t>A.P. (DIR Series) Circular No.10</w:t>
      </w:r>
    </w:p>
    <w:p w:rsidR="00BA0C06" w:rsidRPr="001E7AD4" w:rsidRDefault="00BA0C06" w:rsidP="00BA0C06">
      <w:pPr>
        <w:spacing w:before="100" w:beforeAutospacing="1" w:after="100" w:afterAutospacing="1" w:line="240" w:lineRule="auto"/>
        <w:jc w:val="right"/>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July 11, 2022</w:t>
      </w:r>
    </w:p>
    <w:p w:rsidR="00BA0C06" w:rsidRDefault="00BA0C06" w:rsidP="00BA0C06">
      <w:pPr>
        <w:pStyle w:val="NoSpacing"/>
        <w:rPr>
          <w:lang w:eastAsia="en-IN"/>
        </w:rPr>
      </w:pPr>
      <w:r w:rsidRPr="001E7AD4">
        <w:rPr>
          <w:lang w:eastAsia="en-IN"/>
        </w:rPr>
        <w:t>To</w:t>
      </w:r>
    </w:p>
    <w:p w:rsidR="00BA0C06" w:rsidRPr="001E7AD4" w:rsidRDefault="00BA0C06" w:rsidP="00BA0C06">
      <w:pPr>
        <w:pStyle w:val="NoSpacing"/>
        <w:rPr>
          <w:lang w:eastAsia="en-IN"/>
        </w:rPr>
      </w:pPr>
      <w:r w:rsidRPr="001E7AD4">
        <w:rPr>
          <w:lang w:eastAsia="en-IN"/>
        </w:rPr>
        <w:t>All Category-I Authorised Dealer Banks</w:t>
      </w:r>
    </w:p>
    <w:p w:rsidR="00BA0C06" w:rsidRPr="001E7AD4" w:rsidRDefault="00BA0C06" w:rsidP="00BA0C06">
      <w:pPr>
        <w:pStyle w:val="NoSpacing"/>
        <w:rPr>
          <w:lang w:eastAsia="en-IN"/>
        </w:rPr>
      </w:pPr>
      <w:r w:rsidRPr="001E7AD4">
        <w:rPr>
          <w:lang w:eastAsia="en-IN"/>
        </w:rPr>
        <w:t>Madam/Sir</w:t>
      </w:r>
    </w:p>
    <w:p w:rsidR="00BA0C06" w:rsidRPr="001E7AD4" w:rsidRDefault="00BA0C06" w:rsidP="00BA0C06">
      <w:pPr>
        <w:spacing w:before="100" w:beforeAutospacing="1" w:after="100" w:afterAutospacing="1" w:line="240" w:lineRule="auto"/>
        <w:jc w:val="both"/>
        <w:rPr>
          <w:rFonts w:ascii="Arial" w:eastAsia="Times New Roman" w:hAnsi="Arial" w:cs="Arial"/>
          <w:b/>
          <w:bCs/>
          <w:color w:val="000000"/>
          <w:sz w:val="20"/>
          <w:szCs w:val="20"/>
          <w:lang w:eastAsia="en-IN"/>
        </w:rPr>
      </w:pPr>
      <w:r w:rsidRPr="001E7AD4">
        <w:rPr>
          <w:rFonts w:ascii="Arial" w:eastAsia="Times New Roman" w:hAnsi="Arial" w:cs="Arial"/>
          <w:b/>
          <w:bCs/>
          <w:color w:val="000000"/>
          <w:sz w:val="20"/>
          <w:szCs w:val="20"/>
          <w:u w:val="single"/>
          <w:lang w:eastAsia="en-IN"/>
        </w:rPr>
        <w:t>International Trade Settlement in Indian Rupees (INR)</w:t>
      </w:r>
    </w:p>
    <w:p w:rsidR="00BA0C06" w:rsidRPr="001E7AD4" w:rsidRDefault="00BA0C06" w:rsidP="00BA0C06">
      <w:pPr>
        <w:spacing w:before="100" w:beforeAutospacing="1" w:after="100" w:afterAutospacing="1" w:line="240" w:lineRule="auto"/>
        <w:jc w:val="both"/>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In order to promote growth of global trade with emphasis on exports from India and to support the increasing interest of global trading community in INR, it has been decided to put in place an additional arrangement for invoicing, payment, and settlement of exports / imports in INR. Before putting in place this mechanism, AD banks shall require prior approval from the Foreign Exchange Department of Reserve Bank of India, Central Office at Mumbai.</w:t>
      </w:r>
    </w:p>
    <w:p w:rsidR="00BA0C06" w:rsidRPr="001E7AD4" w:rsidRDefault="00BA0C06" w:rsidP="00BA0C06">
      <w:pPr>
        <w:spacing w:before="100" w:beforeAutospacing="1" w:after="100" w:afterAutospacing="1" w:line="240" w:lineRule="auto"/>
        <w:jc w:val="both"/>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2. The broad framework for cross border trade transactions in INR under Foreign Exchange Management Act, 1999 (FEMA) is as delineated below:</w:t>
      </w:r>
    </w:p>
    <w:p w:rsidR="00BA0C06" w:rsidRPr="000F6CB6" w:rsidRDefault="00BA0C06" w:rsidP="00DA1141">
      <w:pPr>
        <w:numPr>
          <w:ilvl w:val="0"/>
          <w:numId w:val="4"/>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0F6CB6">
        <w:rPr>
          <w:rFonts w:ascii="Arial" w:eastAsia="Times New Roman" w:hAnsi="Arial" w:cs="Arial"/>
          <w:bCs/>
          <w:color w:val="000000"/>
          <w:sz w:val="20"/>
          <w:szCs w:val="20"/>
          <w:lang w:eastAsia="en-IN"/>
        </w:rPr>
        <w:t>Invoicing</w:t>
      </w:r>
    </w:p>
    <w:p w:rsidR="00BA0C06" w:rsidRPr="000F6CB6" w:rsidRDefault="00BA0C06" w:rsidP="00DA1141">
      <w:pPr>
        <w:numPr>
          <w:ilvl w:val="0"/>
          <w:numId w:val="4"/>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0F6CB6">
        <w:rPr>
          <w:rFonts w:ascii="Arial" w:eastAsia="Times New Roman" w:hAnsi="Arial" w:cs="Arial"/>
          <w:bCs/>
          <w:color w:val="000000"/>
          <w:sz w:val="20"/>
          <w:szCs w:val="20"/>
          <w:lang w:eastAsia="en-IN"/>
        </w:rPr>
        <w:t xml:space="preserve"> Exchange Rate</w:t>
      </w:r>
    </w:p>
    <w:p w:rsidR="00BA0C06" w:rsidRDefault="00BA0C06" w:rsidP="00DA1141">
      <w:pPr>
        <w:numPr>
          <w:ilvl w:val="0"/>
          <w:numId w:val="4"/>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0F6CB6">
        <w:rPr>
          <w:rFonts w:ascii="Arial" w:eastAsia="Times New Roman" w:hAnsi="Arial" w:cs="Arial"/>
          <w:bCs/>
          <w:color w:val="000000"/>
          <w:sz w:val="20"/>
          <w:szCs w:val="20"/>
          <w:lang w:eastAsia="en-IN"/>
        </w:rPr>
        <w:t xml:space="preserve"> Settlement</w:t>
      </w:r>
      <w:r w:rsidRPr="001E7AD4">
        <w:rPr>
          <w:rFonts w:ascii="Arial" w:eastAsia="Times New Roman" w:hAnsi="Arial" w:cs="Arial"/>
          <w:color w:val="000000"/>
          <w:sz w:val="20"/>
          <w:szCs w:val="20"/>
          <w:lang w:eastAsia="en-IN"/>
        </w:rPr>
        <w:t> </w:t>
      </w:r>
    </w:p>
    <w:p w:rsidR="00BA0C06" w:rsidRPr="001E7AD4" w:rsidRDefault="00BA0C06" w:rsidP="00BA0C06">
      <w:pPr>
        <w:spacing w:before="100" w:beforeAutospacing="1" w:after="100" w:afterAutospacing="1" w:line="240" w:lineRule="auto"/>
        <w:jc w:val="both"/>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 xml:space="preserve"> 3. In terms of Regulation 7(1) of Foreign Exchange Management (Deposit) Regulations, 2016, AD banks in India have been permitted to open Rupee Vostro Accounts. Accordingly, for settlement of trade transactions with any country, AD bank in India may open Special Rupee Vostro Accounts of correspondent bank/s of the partner trading country. In order to allow settlement of international trade transactions through this arrangement, it has been decided that:</w:t>
      </w:r>
    </w:p>
    <w:p w:rsidR="00BA0C06" w:rsidRPr="001E7AD4" w:rsidRDefault="00BA0C06" w:rsidP="00DA1141">
      <w:pPr>
        <w:numPr>
          <w:ilvl w:val="0"/>
          <w:numId w:val="5"/>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Indian importers undertaking imports through this mechanism shall make payment in INR which shall be credited into the Special Vostro account of the correspondent bank of the partner country, against the invoices for the supply of goods or services from the overseas seller /supplier.</w:t>
      </w:r>
    </w:p>
    <w:p w:rsidR="00BA0C06" w:rsidRPr="001E7AD4" w:rsidRDefault="00BA0C06" w:rsidP="00DA1141">
      <w:pPr>
        <w:numPr>
          <w:ilvl w:val="0"/>
          <w:numId w:val="5"/>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Indian exporters, undertaking exports of goods and services through this mechanism, shall be paid the export proceeds in INR from the balances in the designated Special Vostro account of the correspondent bank of the partner country.</w:t>
      </w:r>
    </w:p>
    <w:p w:rsidR="00BA0C06" w:rsidRPr="001F219E" w:rsidRDefault="00BA0C06" w:rsidP="00BA0C06">
      <w:pPr>
        <w:spacing w:after="0" w:line="240" w:lineRule="auto"/>
        <w:rPr>
          <w:rFonts w:ascii="Arial" w:eastAsia="Times New Roman" w:hAnsi="Arial" w:cs="Arial"/>
          <w:bCs/>
          <w:color w:val="000000"/>
          <w:sz w:val="20"/>
          <w:szCs w:val="20"/>
          <w:lang w:eastAsia="en-IN"/>
        </w:rPr>
      </w:pPr>
      <w:r w:rsidRPr="001F219E">
        <w:rPr>
          <w:rFonts w:ascii="Arial" w:eastAsia="Times New Roman" w:hAnsi="Arial" w:cs="Arial"/>
          <w:bCs/>
          <w:color w:val="000000"/>
          <w:sz w:val="20"/>
          <w:szCs w:val="20"/>
          <w:lang w:eastAsia="en-IN"/>
        </w:rPr>
        <w:t>4.    Documentation</w:t>
      </w:r>
    </w:p>
    <w:p w:rsidR="00BA0C06" w:rsidRPr="001F219E" w:rsidRDefault="00BA0C06" w:rsidP="00BA0C06">
      <w:pPr>
        <w:spacing w:after="0" w:line="240" w:lineRule="auto"/>
        <w:rPr>
          <w:rFonts w:ascii="Arial" w:eastAsia="Times New Roman" w:hAnsi="Arial" w:cs="Arial"/>
          <w:color w:val="000000"/>
          <w:sz w:val="20"/>
          <w:szCs w:val="20"/>
          <w:lang w:eastAsia="en-IN"/>
        </w:rPr>
      </w:pPr>
      <w:r w:rsidRPr="001F219E">
        <w:rPr>
          <w:rFonts w:ascii="Arial" w:eastAsia="Times New Roman" w:hAnsi="Arial" w:cs="Arial"/>
          <w:bCs/>
          <w:color w:val="000000"/>
          <w:sz w:val="20"/>
          <w:szCs w:val="20"/>
          <w:lang w:eastAsia="en-IN"/>
        </w:rPr>
        <w:t>5.    Advance against exports</w:t>
      </w:r>
    </w:p>
    <w:p w:rsidR="00BA0C06" w:rsidRPr="001F219E" w:rsidRDefault="00BA0C06" w:rsidP="00BA0C06">
      <w:pPr>
        <w:spacing w:after="0" w:line="240" w:lineRule="auto"/>
        <w:rPr>
          <w:rFonts w:ascii="Arial" w:eastAsia="Times New Roman" w:hAnsi="Arial" w:cs="Arial"/>
          <w:bCs/>
          <w:color w:val="000000"/>
          <w:sz w:val="20"/>
          <w:szCs w:val="20"/>
          <w:lang w:eastAsia="en-IN"/>
        </w:rPr>
      </w:pPr>
      <w:r w:rsidRPr="001F219E">
        <w:rPr>
          <w:rFonts w:ascii="Arial" w:eastAsia="Times New Roman" w:hAnsi="Arial" w:cs="Arial"/>
          <w:bCs/>
          <w:color w:val="000000"/>
          <w:sz w:val="20"/>
          <w:szCs w:val="20"/>
          <w:lang w:eastAsia="en-IN"/>
        </w:rPr>
        <w:t>6.    Setting-off of export receivables</w:t>
      </w:r>
    </w:p>
    <w:p w:rsidR="00BA0C06" w:rsidRPr="001F219E" w:rsidRDefault="00BA0C06" w:rsidP="00BA0C06">
      <w:pPr>
        <w:spacing w:after="0" w:line="240" w:lineRule="auto"/>
        <w:rPr>
          <w:rFonts w:ascii="Arial" w:eastAsia="Times New Roman" w:hAnsi="Arial" w:cs="Arial"/>
          <w:bCs/>
          <w:color w:val="000000"/>
          <w:sz w:val="20"/>
          <w:szCs w:val="20"/>
          <w:lang w:eastAsia="en-IN"/>
        </w:rPr>
      </w:pPr>
      <w:r w:rsidRPr="001F219E">
        <w:rPr>
          <w:rFonts w:ascii="Arial" w:eastAsia="Times New Roman" w:hAnsi="Arial" w:cs="Arial"/>
          <w:bCs/>
          <w:color w:val="000000"/>
          <w:sz w:val="20"/>
          <w:szCs w:val="20"/>
          <w:lang w:eastAsia="en-IN"/>
        </w:rPr>
        <w:t>7.    Bank Guarantee</w:t>
      </w:r>
      <w:r w:rsidRPr="001E7AD4">
        <w:rPr>
          <w:rFonts w:ascii="Arial" w:eastAsia="Times New Roman" w:hAnsi="Arial" w:cs="Arial"/>
          <w:color w:val="000000"/>
          <w:sz w:val="20"/>
          <w:szCs w:val="20"/>
          <w:lang w:eastAsia="en-IN"/>
        </w:rPr>
        <w:t> </w:t>
      </w:r>
    </w:p>
    <w:p w:rsidR="00BA0C06" w:rsidRPr="001E7AD4" w:rsidRDefault="00BA0C06" w:rsidP="00BA0C06">
      <w:pPr>
        <w:spacing w:after="0" w:line="240" w:lineRule="auto"/>
        <w:rPr>
          <w:rFonts w:ascii="Arial" w:eastAsia="Times New Roman" w:hAnsi="Arial" w:cs="Arial"/>
          <w:bCs/>
          <w:color w:val="000000"/>
          <w:sz w:val="20"/>
          <w:szCs w:val="20"/>
          <w:lang w:eastAsia="en-IN"/>
        </w:rPr>
      </w:pPr>
      <w:r w:rsidRPr="001F219E">
        <w:rPr>
          <w:rFonts w:ascii="Arial" w:eastAsia="Times New Roman" w:hAnsi="Arial" w:cs="Arial"/>
          <w:bCs/>
          <w:color w:val="000000"/>
          <w:sz w:val="20"/>
          <w:szCs w:val="20"/>
          <w:lang w:eastAsia="en-IN"/>
        </w:rPr>
        <w:t>8.    Use of Surplus Balance</w:t>
      </w:r>
    </w:p>
    <w:p w:rsidR="00BA0C06" w:rsidRPr="001E7AD4" w:rsidRDefault="00BA0C06" w:rsidP="00BA0C06">
      <w:pPr>
        <w:spacing w:after="0" w:line="240" w:lineRule="auto"/>
        <w:rPr>
          <w:rFonts w:ascii="Arial" w:eastAsia="Times New Roman" w:hAnsi="Arial" w:cs="Arial"/>
          <w:color w:val="000000"/>
          <w:sz w:val="20"/>
          <w:szCs w:val="20"/>
          <w:lang w:eastAsia="en-IN"/>
        </w:rPr>
      </w:pPr>
      <w:r w:rsidRPr="001F219E">
        <w:rPr>
          <w:rFonts w:ascii="Arial" w:eastAsia="Times New Roman" w:hAnsi="Arial" w:cs="Arial"/>
          <w:bCs/>
          <w:color w:val="000000"/>
          <w:sz w:val="20"/>
          <w:szCs w:val="20"/>
          <w:lang w:eastAsia="en-IN"/>
        </w:rPr>
        <w:t>9.    Reporting Requirements</w:t>
      </w:r>
    </w:p>
    <w:p w:rsidR="00BA0C06" w:rsidRPr="001F219E" w:rsidRDefault="00BA0C06" w:rsidP="00BA0C06">
      <w:pPr>
        <w:spacing w:after="0" w:line="240" w:lineRule="auto"/>
        <w:rPr>
          <w:rFonts w:ascii="Arial" w:eastAsia="Times New Roman" w:hAnsi="Arial" w:cs="Arial"/>
          <w:bCs/>
          <w:color w:val="000000"/>
          <w:sz w:val="20"/>
          <w:szCs w:val="20"/>
          <w:lang w:eastAsia="en-IN"/>
        </w:rPr>
      </w:pPr>
      <w:r w:rsidRPr="001F219E">
        <w:rPr>
          <w:rFonts w:ascii="Arial" w:eastAsia="Times New Roman" w:hAnsi="Arial" w:cs="Arial"/>
          <w:bCs/>
          <w:color w:val="000000"/>
          <w:sz w:val="20"/>
          <w:szCs w:val="20"/>
          <w:lang w:eastAsia="en-IN"/>
        </w:rPr>
        <w:t>10.  Approval Process</w:t>
      </w:r>
    </w:p>
    <w:p w:rsidR="00BA0C06" w:rsidRPr="001E7AD4" w:rsidRDefault="00BA0C06" w:rsidP="00BA0C06">
      <w:pPr>
        <w:spacing w:after="0" w:line="240" w:lineRule="auto"/>
        <w:jc w:val="both"/>
        <w:rPr>
          <w:rFonts w:ascii="Arial" w:eastAsia="Times New Roman" w:hAnsi="Arial" w:cs="Arial"/>
          <w:b/>
          <w:bCs/>
          <w:color w:val="000000"/>
          <w:sz w:val="20"/>
          <w:szCs w:val="20"/>
          <w:lang w:eastAsia="en-IN"/>
        </w:rPr>
      </w:pPr>
    </w:p>
    <w:p w:rsidR="00BA0C06" w:rsidRPr="001E7AD4" w:rsidRDefault="00BA0C06" w:rsidP="00BA0C06">
      <w:pPr>
        <w:spacing w:after="0" w:line="240" w:lineRule="auto"/>
        <w:jc w:val="both"/>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Yours faithfully,</w:t>
      </w:r>
    </w:p>
    <w:p w:rsidR="00BA0C06" w:rsidRPr="001E7AD4" w:rsidRDefault="00BA0C06" w:rsidP="00BA0C06">
      <w:pPr>
        <w:spacing w:after="0" w:line="240" w:lineRule="auto"/>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(Vivek</w:t>
      </w:r>
      <w:r>
        <w:rPr>
          <w:rFonts w:ascii="Arial" w:eastAsia="Times New Roman" w:hAnsi="Arial" w:cs="Arial"/>
          <w:color w:val="000000"/>
          <w:sz w:val="20"/>
          <w:szCs w:val="20"/>
          <w:lang w:eastAsia="en-IN"/>
        </w:rPr>
        <w:t xml:space="preserve"> </w:t>
      </w:r>
      <w:r w:rsidRPr="001E7AD4">
        <w:rPr>
          <w:rFonts w:ascii="Arial" w:eastAsia="Times New Roman" w:hAnsi="Arial" w:cs="Arial"/>
          <w:color w:val="000000"/>
          <w:sz w:val="20"/>
          <w:szCs w:val="20"/>
          <w:lang w:eastAsia="en-IN"/>
        </w:rPr>
        <w:t>Srivastava)</w:t>
      </w:r>
      <w:r w:rsidRPr="001E7AD4">
        <w:rPr>
          <w:rFonts w:ascii="Arial" w:eastAsia="Times New Roman" w:hAnsi="Arial" w:cs="Arial"/>
          <w:color w:val="000000"/>
          <w:sz w:val="20"/>
          <w:szCs w:val="20"/>
          <w:lang w:eastAsia="en-IN"/>
        </w:rPr>
        <w:br/>
        <w:t>Chief General Manager</w:t>
      </w:r>
    </w:p>
    <w:p w:rsidR="00BA0C06" w:rsidRDefault="00BA0C06" w:rsidP="00BA0C06"/>
    <w:p w:rsidR="00BA0C06" w:rsidRDefault="00BA0C06" w:rsidP="00BA0C06"/>
    <w:p w:rsidR="00BA0C06" w:rsidRDefault="00BA0C06" w:rsidP="00BA0C06">
      <w:r>
        <w:t>More details can be referred to in the below link.</w:t>
      </w:r>
    </w:p>
    <w:p w:rsidR="00BA0C06" w:rsidRDefault="00BA0C06" w:rsidP="00BA0C06">
      <w:pPr>
        <w:spacing w:after="0"/>
        <w:jc w:val="both"/>
      </w:pPr>
      <w:r>
        <w:rPr>
          <w:rFonts w:ascii="Arial" w:hAnsi="Arial" w:cs="Arial"/>
          <w:sz w:val="20"/>
          <w:szCs w:val="20"/>
        </w:rPr>
        <w:t>Reference Link:</w:t>
      </w:r>
      <w:r w:rsidRPr="00121B22">
        <w:t xml:space="preserve"> </w:t>
      </w:r>
      <w:hyperlink r:id="rId27" w:history="1">
        <w:r w:rsidRPr="00200311">
          <w:rPr>
            <w:rStyle w:val="Hyperlink"/>
          </w:rPr>
          <w:t>https://rbi.org.in/Scripts/NotificationUser.aspx?Id=12358&amp;Mode=0</w:t>
        </w:r>
      </w:hyperlink>
    </w:p>
    <w:p w:rsidR="00BA0C06" w:rsidRPr="0095703D" w:rsidRDefault="00BA0C06" w:rsidP="00BA0C06">
      <w:pPr>
        <w:rPr>
          <w:rFonts w:ascii="Arial" w:hAnsi="Arial" w:cs="Arial"/>
          <w:b/>
          <w:sz w:val="20"/>
          <w:szCs w:val="20"/>
        </w:rPr>
      </w:pPr>
      <w:r w:rsidRPr="0095703D">
        <w:rPr>
          <w:rFonts w:ascii="Arial" w:hAnsi="Arial" w:cs="Arial"/>
          <w:b/>
          <w:sz w:val="20"/>
          <w:szCs w:val="20"/>
        </w:rPr>
        <w:lastRenderedPageBreak/>
        <w:t xml:space="preserve">Master Circular – </w:t>
      </w:r>
      <w:proofErr w:type="spellStart"/>
      <w:r w:rsidRPr="0095703D">
        <w:rPr>
          <w:rFonts w:ascii="Arial" w:hAnsi="Arial" w:cs="Arial"/>
          <w:b/>
          <w:sz w:val="20"/>
          <w:szCs w:val="20"/>
        </w:rPr>
        <w:t>Deendayal</w:t>
      </w:r>
      <w:proofErr w:type="spellEnd"/>
      <w:r w:rsidRPr="0095703D">
        <w:rPr>
          <w:rFonts w:ascii="Arial" w:hAnsi="Arial" w:cs="Arial"/>
          <w:b/>
          <w:sz w:val="20"/>
          <w:szCs w:val="20"/>
        </w:rPr>
        <w:t xml:space="preserve"> </w:t>
      </w:r>
      <w:proofErr w:type="spellStart"/>
      <w:r w:rsidRPr="0095703D">
        <w:rPr>
          <w:rFonts w:ascii="Arial" w:hAnsi="Arial" w:cs="Arial"/>
          <w:b/>
          <w:sz w:val="20"/>
          <w:szCs w:val="20"/>
        </w:rPr>
        <w:t>Antyodaya</w:t>
      </w:r>
      <w:proofErr w:type="spellEnd"/>
      <w:r w:rsidRPr="0095703D">
        <w:rPr>
          <w:rFonts w:ascii="Arial" w:hAnsi="Arial" w:cs="Arial"/>
          <w:b/>
          <w:sz w:val="20"/>
          <w:szCs w:val="20"/>
        </w:rPr>
        <w:t xml:space="preserve"> </w:t>
      </w:r>
      <w:proofErr w:type="spellStart"/>
      <w:r w:rsidRPr="0095703D">
        <w:rPr>
          <w:rFonts w:ascii="Arial" w:hAnsi="Arial" w:cs="Arial"/>
          <w:b/>
          <w:sz w:val="20"/>
          <w:szCs w:val="20"/>
        </w:rPr>
        <w:t>Yojana</w:t>
      </w:r>
      <w:proofErr w:type="spellEnd"/>
      <w:r w:rsidRPr="0095703D">
        <w:rPr>
          <w:rFonts w:ascii="Arial" w:hAnsi="Arial" w:cs="Arial"/>
          <w:b/>
          <w:sz w:val="20"/>
          <w:szCs w:val="20"/>
        </w:rPr>
        <w:t xml:space="preserve"> - National Rural Livelihoods Mission (DAY-NRLM)</w:t>
      </w:r>
    </w:p>
    <w:p w:rsidR="00BA0C06" w:rsidRDefault="00BA0C06" w:rsidP="00BA0C06">
      <w:pPr>
        <w:spacing w:after="0"/>
        <w:rPr>
          <w:rFonts w:ascii="Arial" w:hAnsi="Arial" w:cs="Arial"/>
          <w:sz w:val="20"/>
          <w:szCs w:val="20"/>
        </w:rPr>
      </w:pPr>
      <w:r w:rsidRPr="0095703D">
        <w:rPr>
          <w:rFonts w:ascii="Arial" w:hAnsi="Arial" w:cs="Arial"/>
          <w:sz w:val="20"/>
          <w:szCs w:val="20"/>
        </w:rPr>
        <w:t>RBI/2022-23/92</w:t>
      </w:r>
    </w:p>
    <w:p w:rsidR="00BA0C06" w:rsidRPr="0095703D" w:rsidRDefault="00BA0C06" w:rsidP="00BA0C06">
      <w:pPr>
        <w:spacing w:after="0"/>
        <w:rPr>
          <w:rFonts w:ascii="Arial" w:hAnsi="Arial" w:cs="Arial"/>
          <w:sz w:val="20"/>
          <w:szCs w:val="20"/>
        </w:rPr>
      </w:pPr>
      <w:proofErr w:type="gramStart"/>
      <w:r>
        <w:rPr>
          <w:rFonts w:ascii="Arial" w:hAnsi="Arial" w:cs="Arial"/>
          <w:color w:val="000000"/>
          <w:sz w:val="20"/>
          <w:szCs w:val="20"/>
        </w:rPr>
        <w:t>FIDD.GSSD.CO.BC.No.</w:t>
      </w:r>
      <w:proofErr w:type="gramEnd"/>
      <w:r>
        <w:rPr>
          <w:rFonts w:ascii="Arial" w:hAnsi="Arial" w:cs="Arial"/>
          <w:color w:val="000000"/>
          <w:sz w:val="20"/>
          <w:szCs w:val="20"/>
        </w:rPr>
        <w:t>09/09.01.003/2022-23</w:t>
      </w:r>
    </w:p>
    <w:p w:rsidR="00BA0C06" w:rsidRDefault="00BA0C06" w:rsidP="00BA0C06">
      <w:pPr>
        <w:pStyle w:val="NormalWeb"/>
        <w:jc w:val="right"/>
        <w:rPr>
          <w:rFonts w:ascii="Arial" w:hAnsi="Arial" w:cs="Arial"/>
          <w:color w:val="000000"/>
          <w:sz w:val="20"/>
          <w:szCs w:val="20"/>
        </w:rPr>
      </w:pPr>
      <w:r>
        <w:rPr>
          <w:rFonts w:ascii="Arial" w:hAnsi="Arial" w:cs="Arial"/>
          <w:color w:val="000000"/>
          <w:sz w:val="20"/>
          <w:szCs w:val="20"/>
        </w:rPr>
        <w:t>July 20, 2022</w:t>
      </w:r>
    </w:p>
    <w:p w:rsidR="00BA0C06" w:rsidRDefault="00BA0C06" w:rsidP="00BA0C06">
      <w:pPr>
        <w:pStyle w:val="NormalWeb"/>
        <w:rPr>
          <w:rFonts w:ascii="Arial" w:hAnsi="Arial" w:cs="Arial"/>
          <w:color w:val="000000"/>
          <w:sz w:val="20"/>
          <w:szCs w:val="20"/>
        </w:rPr>
      </w:pPr>
      <w:r>
        <w:rPr>
          <w:rFonts w:ascii="Arial" w:hAnsi="Arial" w:cs="Arial"/>
          <w:color w:val="000000"/>
          <w:sz w:val="20"/>
          <w:szCs w:val="20"/>
        </w:rPr>
        <w:t>The Chairman/Managing Director &amp; CEO</w:t>
      </w:r>
      <w:r>
        <w:rPr>
          <w:rFonts w:ascii="Arial" w:hAnsi="Arial" w:cs="Arial"/>
          <w:color w:val="000000"/>
          <w:sz w:val="20"/>
          <w:szCs w:val="20"/>
        </w:rPr>
        <w:br/>
        <w:t>Public Sector Banks,</w:t>
      </w:r>
      <w:r>
        <w:rPr>
          <w:rFonts w:ascii="Arial" w:hAnsi="Arial" w:cs="Arial"/>
          <w:color w:val="000000"/>
          <w:sz w:val="20"/>
          <w:szCs w:val="20"/>
        </w:rPr>
        <w:br/>
        <w:t>Private Sector Banks (including Small Finance Banks)</w:t>
      </w:r>
    </w:p>
    <w:p w:rsidR="00BA0C06" w:rsidRDefault="00BA0C06" w:rsidP="00BA0C06">
      <w:pPr>
        <w:pStyle w:val="NormalWeb"/>
        <w:jc w:val="both"/>
        <w:rPr>
          <w:rFonts w:ascii="Arial" w:hAnsi="Arial" w:cs="Arial"/>
          <w:color w:val="000000"/>
          <w:sz w:val="20"/>
          <w:szCs w:val="20"/>
        </w:rPr>
      </w:pPr>
      <w:r>
        <w:rPr>
          <w:rFonts w:ascii="Arial" w:hAnsi="Arial" w:cs="Arial"/>
          <w:color w:val="000000"/>
          <w:sz w:val="20"/>
          <w:szCs w:val="20"/>
        </w:rPr>
        <w:t>Madam/Dear Sir,</w:t>
      </w:r>
    </w:p>
    <w:p w:rsidR="00BA0C06" w:rsidRDefault="00BA0C06" w:rsidP="00BA0C06">
      <w:pPr>
        <w:pStyle w:val="head"/>
        <w:jc w:val="both"/>
        <w:rPr>
          <w:rFonts w:ascii="Arial" w:hAnsi="Arial" w:cs="Arial"/>
          <w:b/>
          <w:bCs/>
          <w:color w:val="000000"/>
          <w:sz w:val="20"/>
          <w:szCs w:val="20"/>
        </w:rPr>
      </w:pPr>
      <w:r>
        <w:rPr>
          <w:rFonts w:ascii="Arial" w:hAnsi="Arial" w:cs="Arial"/>
          <w:b/>
          <w:bCs/>
          <w:color w:val="000000"/>
          <w:sz w:val="20"/>
          <w:szCs w:val="20"/>
        </w:rPr>
        <w:t xml:space="preserve">Master Circular – </w:t>
      </w:r>
      <w:proofErr w:type="spellStart"/>
      <w:r>
        <w:rPr>
          <w:rFonts w:ascii="Arial" w:hAnsi="Arial" w:cs="Arial"/>
          <w:b/>
          <w:bCs/>
          <w:color w:val="000000"/>
          <w:sz w:val="20"/>
          <w:szCs w:val="20"/>
        </w:rPr>
        <w:t>Deendayal</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Antyodaya</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Yojana</w:t>
      </w:r>
      <w:proofErr w:type="spellEnd"/>
      <w:r>
        <w:rPr>
          <w:rFonts w:ascii="Arial" w:hAnsi="Arial" w:cs="Arial"/>
          <w:b/>
          <w:bCs/>
          <w:color w:val="000000"/>
          <w:sz w:val="20"/>
          <w:szCs w:val="20"/>
        </w:rPr>
        <w:t xml:space="preserve"> - National Rural Livelihoods Mission (DAY-NRLM)</w:t>
      </w:r>
    </w:p>
    <w:p w:rsidR="00BA0C06" w:rsidRDefault="00BA0C06" w:rsidP="00BA0C06">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28" w:tgtFrame="_blank" w:history="1">
        <w:r>
          <w:rPr>
            <w:rStyle w:val="Hyperlink"/>
            <w:rFonts w:ascii="Arial" w:hAnsi="Arial" w:cs="Arial"/>
            <w:sz w:val="20"/>
            <w:szCs w:val="20"/>
          </w:rPr>
          <w:t>Master Circular FIDD.GSSD.CO.BC.No.04/09.01.01/2021-22 dated April 01, 2021</w:t>
        </w:r>
      </w:hyperlink>
      <w:r>
        <w:rPr>
          <w:rFonts w:ascii="Arial" w:hAnsi="Arial" w:cs="Arial"/>
          <w:color w:val="000000"/>
          <w:sz w:val="20"/>
          <w:szCs w:val="20"/>
        </w:rPr>
        <w:t xml:space="preserve"> on </w:t>
      </w:r>
      <w:proofErr w:type="spellStart"/>
      <w:r>
        <w:rPr>
          <w:rFonts w:ascii="Arial" w:hAnsi="Arial" w:cs="Arial"/>
          <w:color w:val="000000"/>
          <w:sz w:val="20"/>
          <w:szCs w:val="20"/>
        </w:rPr>
        <w:t>Deendayal</w:t>
      </w:r>
      <w:proofErr w:type="spellEnd"/>
      <w:r>
        <w:rPr>
          <w:rFonts w:ascii="Arial" w:hAnsi="Arial" w:cs="Arial"/>
          <w:color w:val="000000"/>
          <w:sz w:val="20"/>
          <w:szCs w:val="20"/>
        </w:rPr>
        <w:t xml:space="preserve"> </w:t>
      </w:r>
      <w:proofErr w:type="spellStart"/>
      <w:r>
        <w:rPr>
          <w:rFonts w:ascii="Arial" w:hAnsi="Arial" w:cs="Arial"/>
          <w:color w:val="000000"/>
          <w:sz w:val="20"/>
          <w:szCs w:val="20"/>
        </w:rPr>
        <w:t>Antyodaya</w:t>
      </w:r>
      <w:proofErr w:type="spellEnd"/>
      <w:r>
        <w:rPr>
          <w:rFonts w:ascii="Arial" w:hAnsi="Arial" w:cs="Arial"/>
          <w:color w:val="000000"/>
          <w:sz w:val="20"/>
          <w:szCs w:val="20"/>
        </w:rPr>
        <w:t xml:space="preserve"> </w:t>
      </w:r>
      <w:proofErr w:type="spellStart"/>
      <w:r>
        <w:rPr>
          <w:rFonts w:ascii="Arial" w:hAnsi="Arial" w:cs="Arial"/>
          <w:color w:val="000000"/>
          <w:sz w:val="20"/>
          <w:szCs w:val="20"/>
        </w:rPr>
        <w:t>Yojana</w:t>
      </w:r>
      <w:proofErr w:type="spellEnd"/>
      <w:r>
        <w:rPr>
          <w:rFonts w:ascii="Arial" w:hAnsi="Arial" w:cs="Arial"/>
          <w:color w:val="000000"/>
          <w:sz w:val="20"/>
          <w:szCs w:val="20"/>
        </w:rPr>
        <w:t xml:space="preserve"> - National Rural Livelihoods Mission (DAY-NRLM).</w:t>
      </w:r>
    </w:p>
    <w:p w:rsidR="00BA0C06" w:rsidRDefault="00BA0C06" w:rsidP="00BA0C06">
      <w:pPr>
        <w:pStyle w:val="NormalWeb"/>
        <w:jc w:val="both"/>
        <w:rPr>
          <w:rFonts w:ascii="Arial" w:hAnsi="Arial" w:cs="Arial"/>
          <w:color w:val="000000"/>
          <w:sz w:val="20"/>
          <w:szCs w:val="20"/>
        </w:rPr>
      </w:pPr>
      <w:r>
        <w:rPr>
          <w:rFonts w:ascii="Arial" w:hAnsi="Arial" w:cs="Arial"/>
          <w:color w:val="000000"/>
          <w:sz w:val="20"/>
          <w:szCs w:val="20"/>
        </w:rPr>
        <w:t>2. The enclosed </w:t>
      </w:r>
      <w:hyperlink r:id="rId29" w:anchor="MC" w:history="1">
        <w:r>
          <w:rPr>
            <w:rStyle w:val="Hyperlink"/>
            <w:rFonts w:ascii="Arial" w:hAnsi="Arial" w:cs="Arial"/>
            <w:sz w:val="20"/>
            <w:szCs w:val="20"/>
          </w:rPr>
          <w:t>Master Circular</w:t>
        </w:r>
      </w:hyperlink>
      <w:r>
        <w:rPr>
          <w:rFonts w:ascii="Arial" w:hAnsi="Arial" w:cs="Arial"/>
          <w:color w:val="000000"/>
          <w:sz w:val="20"/>
          <w:szCs w:val="20"/>
        </w:rPr>
        <w:t> consolidates and updates all the instructions/guidelines on the subject issued till date and replaces the earlier Master Circular issued on the subject.</w:t>
      </w:r>
    </w:p>
    <w:p w:rsidR="00BA0C06" w:rsidRDefault="00BA0C06" w:rsidP="00BA0C06">
      <w:pPr>
        <w:pStyle w:val="NormalWeb"/>
        <w:jc w:val="both"/>
        <w:rPr>
          <w:rFonts w:ascii="Arial" w:hAnsi="Arial" w:cs="Arial"/>
          <w:color w:val="000000"/>
          <w:sz w:val="20"/>
          <w:szCs w:val="20"/>
        </w:rPr>
      </w:pPr>
      <w:r>
        <w:rPr>
          <w:rFonts w:ascii="Arial" w:hAnsi="Arial" w:cs="Arial"/>
          <w:color w:val="000000"/>
          <w:sz w:val="20"/>
          <w:szCs w:val="20"/>
        </w:rPr>
        <w:t>Yours faithfully,</w:t>
      </w:r>
    </w:p>
    <w:p w:rsidR="00BA0C06" w:rsidRDefault="00BA0C06" w:rsidP="00BA0C06">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Nisha</w:t>
      </w:r>
      <w:proofErr w:type="spellEnd"/>
      <w:r>
        <w:rPr>
          <w:rFonts w:ascii="Arial" w:hAnsi="Arial" w:cs="Arial"/>
          <w:color w:val="000000"/>
          <w:sz w:val="20"/>
          <w:szCs w:val="20"/>
        </w:rPr>
        <w:t xml:space="preserve"> </w:t>
      </w:r>
      <w:proofErr w:type="spellStart"/>
      <w:r>
        <w:rPr>
          <w:rFonts w:ascii="Arial" w:hAnsi="Arial" w:cs="Arial"/>
          <w:color w:val="000000"/>
          <w:sz w:val="20"/>
          <w:szCs w:val="20"/>
        </w:rPr>
        <w:t>Nambiar</w:t>
      </w:r>
      <w:proofErr w:type="spellEnd"/>
      <w:r>
        <w:rPr>
          <w:rFonts w:ascii="Arial" w:hAnsi="Arial" w:cs="Arial"/>
          <w:color w:val="000000"/>
          <w:sz w:val="20"/>
          <w:szCs w:val="20"/>
        </w:rPr>
        <w:t>)</w:t>
      </w:r>
      <w:r>
        <w:rPr>
          <w:rFonts w:ascii="Arial" w:hAnsi="Arial" w:cs="Arial"/>
          <w:color w:val="000000"/>
          <w:sz w:val="20"/>
          <w:szCs w:val="20"/>
        </w:rPr>
        <w:br/>
        <w:t>Chief General Manager</w:t>
      </w:r>
    </w:p>
    <w:p w:rsidR="00BA0C06" w:rsidRDefault="00BA0C06" w:rsidP="00BA0C06">
      <w:pPr>
        <w:rPr>
          <w:rFonts w:ascii="Arial" w:hAnsi="Arial" w:cs="Arial"/>
          <w:sz w:val="20"/>
          <w:szCs w:val="20"/>
        </w:rPr>
      </w:pPr>
    </w:p>
    <w:p w:rsidR="00BA0C06" w:rsidRDefault="00BA0C06" w:rsidP="00BA0C06">
      <w:pPr>
        <w:rPr>
          <w:rFonts w:ascii="Arial" w:hAnsi="Arial" w:cs="Arial"/>
          <w:sz w:val="20"/>
          <w:szCs w:val="20"/>
        </w:rPr>
      </w:pPr>
    </w:p>
    <w:p w:rsidR="00BA0C06" w:rsidRDefault="00BA0C06" w:rsidP="00BA0C06">
      <w:pPr>
        <w:rPr>
          <w:rFonts w:ascii="Arial" w:hAnsi="Arial" w:cs="Arial"/>
          <w:sz w:val="20"/>
          <w:szCs w:val="20"/>
        </w:rPr>
      </w:pPr>
    </w:p>
    <w:p w:rsidR="00BA0C06" w:rsidRDefault="00BA0C06" w:rsidP="00BA0C06">
      <w:r>
        <w:t>More details can be referred to in the below link.</w:t>
      </w:r>
    </w:p>
    <w:p w:rsidR="00BA0C06" w:rsidRDefault="00BA0C06" w:rsidP="00BA0C06">
      <w:pPr>
        <w:rPr>
          <w:rFonts w:ascii="Arial" w:hAnsi="Arial" w:cs="Arial"/>
          <w:bCs/>
          <w:color w:val="000000"/>
          <w:sz w:val="20"/>
          <w:szCs w:val="20"/>
        </w:rPr>
      </w:pPr>
      <w:r>
        <w:rPr>
          <w:rFonts w:ascii="Arial" w:hAnsi="Arial" w:cs="Arial"/>
          <w:bCs/>
          <w:color w:val="000000"/>
          <w:sz w:val="20"/>
          <w:szCs w:val="20"/>
        </w:rPr>
        <w:t xml:space="preserve">Reference Link: </w:t>
      </w:r>
      <w:hyperlink r:id="rId30" w:history="1">
        <w:r w:rsidRPr="00735218">
          <w:rPr>
            <w:rStyle w:val="Hyperlink"/>
            <w:rFonts w:ascii="Arial" w:hAnsi="Arial" w:cs="Arial"/>
            <w:bCs/>
            <w:sz w:val="20"/>
            <w:szCs w:val="20"/>
          </w:rPr>
          <w:t>https://www.rbi.org.in/scripts/NotificationUser.aspx?Id=12360&amp;Mode=0</w:t>
        </w:r>
      </w:hyperlink>
    </w:p>
    <w:p w:rsidR="00BA0C06" w:rsidRDefault="00BA0C06" w:rsidP="00BA0C06">
      <w:pPr>
        <w:rPr>
          <w:rFonts w:ascii="Arial" w:hAnsi="Arial" w:cs="Arial"/>
          <w:bCs/>
          <w:color w:val="000000"/>
          <w:sz w:val="20"/>
          <w:szCs w:val="20"/>
        </w:rPr>
      </w:pPr>
    </w:p>
    <w:p w:rsidR="00BA0C06" w:rsidRDefault="00BA0C06" w:rsidP="00BA0C06">
      <w:pPr>
        <w:rPr>
          <w:rFonts w:ascii="Arial" w:hAnsi="Arial" w:cs="Arial"/>
          <w:bCs/>
          <w:color w:val="000000"/>
          <w:sz w:val="20"/>
          <w:szCs w:val="20"/>
        </w:rPr>
      </w:pPr>
    </w:p>
    <w:p w:rsidR="00BA0C06" w:rsidRDefault="00BA0C06" w:rsidP="00BA0C06">
      <w:pPr>
        <w:rPr>
          <w:rFonts w:ascii="Arial" w:hAnsi="Arial" w:cs="Arial"/>
          <w:bCs/>
          <w:color w:val="000000"/>
          <w:sz w:val="20"/>
          <w:szCs w:val="20"/>
        </w:rPr>
      </w:pPr>
    </w:p>
    <w:p w:rsidR="00BA0C06" w:rsidRDefault="00BA0C06" w:rsidP="00BA0C06">
      <w:pPr>
        <w:rPr>
          <w:rFonts w:ascii="Arial" w:hAnsi="Arial" w:cs="Arial"/>
          <w:bCs/>
          <w:color w:val="000000"/>
          <w:sz w:val="20"/>
          <w:szCs w:val="20"/>
        </w:rPr>
      </w:pPr>
    </w:p>
    <w:p w:rsidR="00BA0C06" w:rsidRDefault="00BA0C06" w:rsidP="00BA0C06">
      <w:pPr>
        <w:rPr>
          <w:rFonts w:ascii="Arial" w:hAnsi="Arial" w:cs="Arial"/>
          <w:bCs/>
          <w:color w:val="000000"/>
          <w:sz w:val="20"/>
          <w:szCs w:val="20"/>
        </w:rPr>
      </w:pPr>
    </w:p>
    <w:p w:rsidR="00BA0C06" w:rsidRDefault="00BA0C06" w:rsidP="00BA0C06">
      <w:pPr>
        <w:rPr>
          <w:rFonts w:ascii="Arial" w:hAnsi="Arial" w:cs="Arial"/>
          <w:bCs/>
          <w:color w:val="000000"/>
          <w:sz w:val="20"/>
          <w:szCs w:val="20"/>
        </w:rPr>
      </w:pPr>
    </w:p>
    <w:p w:rsidR="00BA0C06" w:rsidRDefault="00BA0C06" w:rsidP="00BA0C06">
      <w:pPr>
        <w:rPr>
          <w:rFonts w:ascii="Arial" w:hAnsi="Arial" w:cs="Arial"/>
          <w:bCs/>
          <w:color w:val="000000"/>
          <w:sz w:val="20"/>
          <w:szCs w:val="20"/>
        </w:rPr>
      </w:pPr>
    </w:p>
    <w:p w:rsidR="00BA0C06" w:rsidRDefault="00BA0C06" w:rsidP="00BA0C06">
      <w:pPr>
        <w:rPr>
          <w:rFonts w:ascii="Arial" w:hAnsi="Arial" w:cs="Arial"/>
          <w:bCs/>
          <w:color w:val="000000"/>
          <w:sz w:val="20"/>
          <w:szCs w:val="20"/>
        </w:rPr>
      </w:pPr>
    </w:p>
    <w:p w:rsidR="00BA0C06" w:rsidRDefault="00BA0C06" w:rsidP="00BA0C06">
      <w:pPr>
        <w:rPr>
          <w:rFonts w:ascii="Arial" w:hAnsi="Arial" w:cs="Arial"/>
          <w:bCs/>
          <w:color w:val="000000"/>
          <w:sz w:val="20"/>
          <w:szCs w:val="20"/>
        </w:rPr>
      </w:pPr>
    </w:p>
    <w:p w:rsidR="00BA0C06" w:rsidRDefault="00BA0C06" w:rsidP="00BA0C06">
      <w:pPr>
        <w:rPr>
          <w:rFonts w:ascii="Arial" w:hAnsi="Arial" w:cs="Arial"/>
          <w:bCs/>
          <w:color w:val="000000"/>
          <w:sz w:val="20"/>
          <w:szCs w:val="20"/>
        </w:rPr>
      </w:pPr>
    </w:p>
    <w:p w:rsidR="00BA0C06" w:rsidRDefault="00BA0C06" w:rsidP="00BA0C06">
      <w:pPr>
        <w:rPr>
          <w:rFonts w:ascii="Arial" w:hAnsi="Arial" w:cs="Arial"/>
          <w:bCs/>
          <w:color w:val="000000"/>
          <w:sz w:val="20"/>
          <w:szCs w:val="20"/>
        </w:rPr>
      </w:pPr>
    </w:p>
    <w:p w:rsidR="006458AB" w:rsidRDefault="006458AB" w:rsidP="00BA0C06">
      <w:pPr>
        <w:jc w:val="both"/>
        <w:rPr>
          <w:rFonts w:ascii="Arial" w:hAnsi="Arial" w:cs="Arial"/>
          <w:b/>
          <w:bCs/>
          <w:color w:val="000000"/>
          <w:sz w:val="20"/>
          <w:szCs w:val="20"/>
        </w:rPr>
      </w:pPr>
    </w:p>
    <w:p w:rsidR="00BA0C06" w:rsidRDefault="00BA0C06" w:rsidP="00BA0C06">
      <w:pPr>
        <w:rPr>
          <w:rFonts w:ascii="Arial" w:hAnsi="Arial" w:cs="Arial"/>
          <w:b/>
          <w:bCs/>
          <w:color w:val="000000"/>
          <w:sz w:val="20"/>
          <w:szCs w:val="20"/>
        </w:rPr>
      </w:pPr>
      <w:r>
        <w:rPr>
          <w:rFonts w:ascii="Arial" w:hAnsi="Arial" w:cs="Arial"/>
          <w:b/>
          <w:bCs/>
          <w:color w:val="000000"/>
          <w:sz w:val="20"/>
          <w:szCs w:val="20"/>
        </w:rPr>
        <w:lastRenderedPageBreak/>
        <w:t>Board approved Loan Policy – Management of Advances – UCBs</w:t>
      </w:r>
    </w:p>
    <w:p w:rsidR="00BA0C06" w:rsidRDefault="00BA0C06" w:rsidP="00BA0C06">
      <w:pPr>
        <w:pStyle w:val="NormalWeb"/>
        <w:jc w:val="both"/>
        <w:rPr>
          <w:rFonts w:ascii="Arial" w:hAnsi="Arial" w:cs="Arial"/>
          <w:color w:val="000000"/>
          <w:sz w:val="20"/>
          <w:szCs w:val="20"/>
        </w:rPr>
      </w:pPr>
      <w:r>
        <w:rPr>
          <w:rFonts w:ascii="Arial" w:hAnsi="Arial" w:cs="Arial"/>
          <w:color w:val="000000"/>
          <w:sz w:val="20"/>
          <w:szCs w:val="20"/>
        </w:rPr>
        <w:t>RBI/2022-23/93</w:t>
      </w:r>
      <w:r>
        <w:rPr>
          <w:rFonts w:ascii="Arial" w:hAnsi="Arial" w:cs="Arial"/>
          <w:color w:val="000000"/>
          <w:sz w:val="20"/>
          <w:szCs w:val="20"/>
        </w:rPr>
        <w:br/>
        <w:t>DOR.CRE.REC.56/13.05.000/2022-23</w:t>
      </w:r>
    </w:p>
    <w:p w:rsidR="00BA0C06" w:rsidRDefault="00BA0C06" w:rsidP="00BA0C06">
      <w:pPr>
        <w:pStyle w:val="NormalWeb"/>
        <w:jc w:val="right"/>
        <w:rPr>
          <w:rFonts w:ascii="Arial" w:hAnsi="Arial" w:cs="Arial"/>
          <w:color w:val="000000"/>
          <w:sz w:val="20"/>
          <w:szCs w:val="20"/>
        </w:rPr>
      </w:pPr>
      <w:r>
        <w:rPr>
          <w:rFonts w:ascii="Arial" w:hAnsi="Arial" w:cs="Arial"/>
          <w:color w:val="000000"/>
          <w:sz w:val="20"/>
          <w:szCs w:val="20"/>
        </w:rPr>
        <w:t>July 26, 2022</w:t>
      </w:r>
    </w:p>
    <w:p w:rsidR="00BA0C06" w:rsidRDefault="00BA0C06" w:rsidP="00BA0C06">
      <w:pPr>
        <w:pStyle w:val="NormalWeb"/>
        <w:jc w:val="both"/>
        <w:rPr>
          <w:rFonts w:ascii="Arial" w:hAnsi="Arial" w:cs="Arial"/>
          <w:color w:val="000000"/>
          <w:sz w:val="20"/>
          <w:szCs w:val="20"/>
        </w:rPr>
      </w:pPr>
      <w:r>
        <w:rPr>
          <w:rFonts w:ascii="Arial" w:hAnsi="Arial" w:cs="Arial"/>
          <w:color w:val="000000"/>
          <w:sz w:val="20"/>
          <w:szCs w:val="20"/>
        </w:rPr>
        <w:t>All Primary (Urban) Co-operative Banks</w:t>
      </w:r>
    </w:p>
    <w:p w:rsidR="00BA0C06" w:rsidRDefault="00BA0C06" w:rsidP="00BA0C06">
      <w:pPr>
        <w:pStyle w:val="NormalWeb"/>
        <w:jc w:val="both"/>
        <w:rPr>
          <w:rFonts w:ascii="Arial" w:hAnsi="Arial" w:cs="Arial"/>
          <w:color w:val="000000"/>
          <w:sz w:val="20"/>
          <w:szCs w:val="20"/>
        </w:rPr>
      </w:pPr>
      <w:r>
        <w:rPr>
          <w:rFonts w:ascii="Arial" w:hAnsi="Arial" w:cs="Arial"/>
          <w:color w:val="000000"/>
          <w:sz w:val="20"/>
          <w:szCs w:val="20"/>
        </w:rPr>
        <w:t>Madam / Dear Sir,</w:t>
      </w:r>
    </w:p>
    <w:p w:rsidR="00BA0C06" w:rsidRDefault="00BA0C06" w:rsidP="00BA0C06">
      <w:pPr>
        <w:pStyle w:val="head"/>
        <w:jc w:val="both"/>
        <w:rPr>
          <w:rFonts w:ascii="Arial" w:hAnsi="Arial" w:cs="Arial"/>
          <w:b/>
          <w:bCs/>
          <w:color w:val="000000"/>
          <w:sz w:val="20"/>
          <w:szCs w:val="20"/>
        </w:rPr>
      </w:pPr>
      <w:r>
        <w:rPr>
          <w:rFonts w:ascii="Arial" w:hAnsi="Arial" w:cs="Arial"/>
          <w:b/>
          <w:bCs/>
          <w:color w:val="000000"/>
          <w:sz w:val="20"/>
          <w:szCs w:val="20"/>
        </w:rPr>
        <w:t>Board approved Loan Policy – Management of Advances - UCBs</w:t>
      </w:r>
    </w:p>
    <w:p w:rsidR="00BA0C06" w:rsidRDefault="00BA0C06" w:rsidP="00BA0C06">
      <w:pPr>
        <w:pStyle w:val="NormalWeb"/>
        <w:jc w:val="both"/>
        <w:rPr>
          <w:rFonts w:ascii="Arial" w:hAnsi="Arial" w:cs="Arial"/>
          <w:color w:val="000000"/>
          <w:sz w:val="20"/>
          <w:szCs w:val="20"/>
        </w:rPr>
      </w:pPr>
      <w:r>
        <w:rPr>
          <w:rFonts w:ascii="Arial" w:hAnsi="Arial" w:cs="Arial"/>
          <w:color w:val="000000"/>
          <w:sz w:val="20"/>
          <w:szCs w:val="20"/>
        </w:rPr>
        <w:t>Please refer to para 1 of the </w:t>
      </w:r>
      <w:hyperlink r:id="rId31" w:tgtFrame="_blank" w:history="1">
        <w:r>
          <w:rPr>
            <w:rStyle w:val="Hyperlink"/>
            <w:rFonts w:ascii="Arial" w:hAnsi="Arial" w:cs="Arial"/>
            <w:sz w:val="20"/>
            <w:szCs w:val="20"/>
          </w:rPr>
          <w:t>Master Circular DOR.CRE.REC.No.17/13.05.000/2022-23 dated April 8, 2022</w:t>
        </w:r>
      </w:hyperlink>
      <w:r>
        <w:rPr>
          <w:rFonts w:ascii="Arial" w:hAnsi="Arial" w:cs="Arial"/>
          <w:color w:val="000000"/>
          <w:sz w:val="20"/>
          <w:szCs w:val="20"/>
        </w:rPr>
        <w:t> on Management of Advances – UCBs in terms of which, UCBs are required to lay down, with the approval of their boards, transparent policies and guidelines for credit dispensation, in respect of each broad category of economic activity, keeping in view the credit exposure norms and various other guidelines issued by Reserve Bank from time to time.</w:t>
      </w:r>
    </w:p>
    <w:p w:rsidR="00BA0C06" w:rsidRDefault="00BA0C06" w:rsidP="00BA0C06">
      <w:pPr>
        <w:pStyle w:val="NormalWeb"/>
        <w:jc w:val="both"/>
        <w:rPr>
          <w:rFonts w:ascii="Arial" w:hAnsi="Arial" w:cs="Arial"/>
          <w:color w:val="000000"/>
          <w:sz w:val="20"/>
          <w:szCs w:val="20"/>
        </w:rPr>
      </w:pPr>
      <w:r>
        <w:rPr>
          <w:rFonts w:ascii="Arial" w:hAnsi="Arial" w:cs="Arial"/>
          <w:color w:val="000000"/>
          <w:sz w:val="20"/>
          <w:szCs w:val="20"/>
        </w:rPr>
        <w:t>2. It has been observed in several UCBs that these policies not only lack comprehensive coverage, but also do not require a periodic review. In order to ensure that the loan policy reflects approved internal risk appetite and remains in alignment with the extant regulations, it is advised that the loan policy of the bank shall be reviewed by the Board at least once in a financial year.</w:t>
      </w:r>
    </w:p>
    <w:p w:rsidR="00BA0C06" w:rsidRDefault="00BA0C06" w:rsidP="00BA0C06">
      <w:pPr>
        <w:pStyle w:val="NormalWeb"/>
        <w:jc w:val="both"/>
        <w:rPr>
          <w:rFonts w:ascii="Arial" w:hAnsi="Arial" w:cs="Arial"/>
          <w:color w:val="000000"/>
          <w:sz w:val="20"/>
          <w:szCs w:val="20"/>
        </w:rPr>
      </w:pPr>
      <w:r>
        <w:rPr>
          <w:rFonts w:ascii="Arial" w:hAnsi="Arial" w:cs="Arial"/>
          <w:color w:val="000000"/>
          <w:sz w:val="20"/>
          <w:szCs w:val="20"/>
        </w:rPr>
        <w:t>3. The above instructions will come into effect immediately.</w:t>
      </w:r>
    </w:p>
    <w:p w:rsidR="00BA0C06" w:rsidRDefault="00BA0C06" w:rsidP="00BA0C06">
      <w:pPr>
        <w:pStyle w:val="NormalWeb"/>
        <w:jc w:val="both"/>
        <w:rPr>
          <w:rFonts w:ascii="Arial" w:hAnsi="Arial" w:cs="Arial"/>
          <w:color w:val="000000"/>
          <w:sz w:val="20"/>
          <w:szCs w:val="20"/>
        </w:rPr>
      </w:pPr>
      <w:r>
        <w:rPr>
          <w:rFonts w:ascii="Arial" w:hAnsi="Arial" w:cs="Arial"/>
          <w:color w:val="000000"/>
          <w:sz w:val="20"/>
          <w:szCs w:val="20"/>
        </w:rPr>
        <w:t>Yours faithfully,</w:t>
      </w:r>
    </w:p>
    <w:p w:rsidR="00BA0C06" w:rsidRDefault="00BA0C06" w:rsidP="00BA0C06">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BA0C06" w:rsidRDefault="00BA0C06" w:rsidP="00BA0C06">
      <w:pPr>
        <w:rPr>
          <w:rFonts w:ascii="Arial" w:hAnsi="Arial" w:cs="Arial"/>
          <w:sz w:val="20"/>
          <w:szCs w:val="20"/>
        </w:rPr>
      </w:pPr>
    </w:p>
    <w:p w:rsidR="00BA0C06" w:rsidRDefault="00BA0C06" w:rsidP="00BA0C06">
      <w:pPr>
        <w:rPr>
          <w:rFonts w:ascii="Arial" w:hAnsi="Arial" w:cs="Arial"/>
          <w:sz w:val="20"/>
          <w:szCs w:val="20"/>
        </w:rPr>
      </w:pPr>
    </w:p>
    <w:p w:rsidR="00BA0C06" w:rsidRDefault="00BA0C06" w:rsidP="00BA0C06">
      <w:pPr>
        <w:rPr>
          <w:rFonts w:ascii="Arial" w:hAnsi="Arial" w:cs="Arial"/>
          <w:sz w:val="20"/>
          <w:szCs w:val="20"/>
        </w:rPr>
      </w:pPr>
    </w:p>
    <w:p w:rsidR="00BA0C06" w:rsidRDefault="00BA0C06" w:rsidP="00BA0C06">
      <w:r>
        <w:t>More details can be referred to in the below link.</w:t>
      </w:r>
    </w:p>
    <w:p w:rsidR="00BA0C06" w:rsidRDefault="00BA0C06" w:rsidP="00BA0C06">
      <w:pPr>
        <w:rPr>
          <w:rFonts w:ascii="Arial" w:hAnsi="Arial" w:cs="Arial"/>
          <w:bCs/>
          <w:color w:val="000000"/>
          <w:sz w:val="20"/>
          <w:szCs w:val="20"/>
        </w:rPr>
      </w:pPr>
      <w:r>
        <w:rPr>
          <w:rFonts w:ascii="Arial" w:hAnsi="Arial" w:cs="Arial"/>
          <w:bCs/>
          <w:color w:val="000000"/>
          <w:sz w:val="20"/>
          <w:szCs w:val="20"/>
        </w:rPr>
        <w:t xml:space="preserve">Reference Link: </w:t>
      </w:r>
      <w:hyperlink r:id="rId32" w:history="1">
        <w:r w:rsidRPr="00735218">
          <w:rPr>
            <w:rStyle w:val="Hyperlink"/>
            <w:rFonts w:ascii="Arial" w:hAnsi="Arial" w:cs="Arial"/>
            <w:bCs/>
            <w:sz w:val="20"/>
            <w:szCs w:val="20"/>
          </w:rPr>
          <w:t>https://www.rbi.org.in/scripts/NotificationUser.aspx?Id=12361&amp;Mode=0</w:t>
        </w:r>
      </w:hyperlink>
    </w:p>
    <w:p w:rsidR="00BA0C06" w:rsidRDefault="00BA0C06" w:rsidP="00BA0C06">
      <w:pPr>
        <w:jc w:val="both"/>
        <w:rPr>
          <w:rFonts w:ascii="Arial" w:hAnsi="Arial" w:cs="Arial"/>
          <w:b/>
          <w:bCs/>
          <w:color w:val="000000"/>
          <w:sz w:val="20"/>
          <w:szCs w:val="20"/>
        </w:rPr>
      </w:pPr>
    </w:p>
    <w:p w:rsidR="00BA0C06" w:rsidRDefault="00BA0C06" w:rsidP="00BA0C06">
      <w:pPr>
        <w:jc w:val="both"/>
        <w:rPr>
          <w:rFonts w:ascii="Arial" w:hAnsi="Arial" w:cs="Arial"/>
          <w:b/>
          <w:bCs/>
          <w:color w:val="000000"/>
          <w:sz w:val="20"/>
          <w:szCs w:val="20"/>
        </w:rPr>
      </w:pPr>
    </w:p>
    <w:p w:rsidR="00BA0C06" w:rsidRDefault="00BA0C06" w:rsidP="00BA0C06">
      <w:pPr>
        <w:jc w:val="both"/>
        <w:rPr>
          <w:rFonts w:ascii="Arial" w:hAnsi="Arial" w:cs="Arial"/>
          <w:b/>
          <w:bCs/>
          <w:color w:val="000000"/>
          <w:sz w:val="20"/>
          <w:szCs w:val="20"/>
        </w:rPr>
      </w:pPr>
    </w:p>
    <w:p w:rsidR="00BA0C06" w:rsidRDefault="00BA0C06" w:rsidP="00BA0C06">
      <w:pPr>
        <w:jc w:val="both"/>
        <w:rPr>
          <w:rFonts w:ascii="Arial" w:hAnsi="Arial" w:cs="Arial"/>
          <w:b/>
          <w:bCs/>
          <w:color w:val="000000"/>
          <w:sz w:val="20"/>
          <w:szCs w:val="20"/>
        </w:rPr>
      </w:pPr>
    </w:p>
    <w:p w:rsidR="00BA0C06" w:rsidRDefault="00BA0C06" w:rsidP="00BA0C06">
      <w:pPr>
        <w:jc w:val="both"/>
        <w:rPr>
          <w:rFonts w:ascii="Arial" w:hAnsi="Arial" w:cs="Arial"/>
          <w:b/>
          <w:bCs/>
          <w:color w:val="000000"/>
          <w:sz w:val="20"/>
          <w:szCs w:val="20"/>
        </w:rPr>
      </w:pPr>
    </w:p>
    <w:p w:rsidR="00BA0C06" w:rsidRDefault="00BA0C06" w:rsidP="00BA0C06">
      <w:pPr>
        <w:jc w:val="both"/>
        <w:rPr>
          <w:rFonts w:ascii="Arial" w:hAnsi="Arial" w:cs="Arial"/>
          <w:b/>
          <w:bCs/>
          <w:color w:val="000000"/>
          <w:sz w:val="20"/>
          <w:szCs w:val="20"/>
        </w:rPr>
      </w:pPr>
    </w:p>
    <w:p w:rsidR="00BA0C06" w:rsidRDefault="00BA0C06" w:rsidP="00BA0C06">
      <w:pPr>
        <w:jc w:val="both"/>
        <w:rPr>
          <w:rFonts w:ascii="Arial" w:hAnsi="Arial" w:cs="Arial"/>
          <w:b/>
          <w:bCs/>
          <w:color w:val="000000"/>
          <w:sz w:val="20"/>
          <w:szCs w:val="20"/>
        </w:rPr>
      </w:pPr>
    </w:p>
    <w:p w:rsidR="00BA0C06" w:rsidRDefault="00BA0C06" w:rsidP="00BA0C06">
      <w:pPr>
        <w:jc w:val="both"/>
        <w:rPr>
          <w:rFonts w:ascii="Arial" w:hAnsi="Arial" w:cs="Arial"/>
          <w:b/>
          <w:bCs/>
          <w:color w:val="000000"/>
          <w:sz w:val="20"/>
          <w:szCs w:val="20"/>
        </w:rPr>
      </w:pPr>
    </w:p>
    <w:p w:rsidR="00BA0C06" w:rsidRDefault="00BA0C06" w:rsidP="00BA0C06">
      <w:pPr>
        <w:jc w:val="both"/>
        <w:rPr>
          <w:rFonts w:ascii="Arial" w:hAnsi="Arial" w:cs="Arial"/>
          <w:b/>
          <w:bCs/>
          <w:color w:val="000000"/>
          <w:sz w:val="20"/>
          <w:szCs w:val="20"/>
        </w:rPr>
      </w:pPr>
    </w:p>
    <w:p w:rsidR="00BA0C06" w:rsidRDefault="00BA0C06" w:rsidP="00BA0C06">
      <w:pPr>
        <w:jc w:val="both"/>
        <w:rPr>
          <w:rFonts w:ascii="Arial" w:hAnsi="Arial" w:cs="Arial"/>
          <w:b/>
          <w:bCs/>
          <w:color w:val="000000"/>
          <w:sz w:val="20"/>
          <w:szCs w:val="20"/>
        </w:rPr>
      </w:pPr>
    </w:p>
    <w:p w:rsidR="00BA0C06" w:rsidRDefault="00BA0C06" w:rsidP="00BA0C06">
      <w:pPr>
        <w:rPr>
          <w:rFonts w:ascii="Arial" w:hAnsi="Arial" w:cs="Arial"/>
          <w:b/>
          <w:bCs/>
          <w:color w:val="000000"/>
          <w:sz w:val="20"/>
          <w:szCs w:val="20"/>
        </w:rPr>
      </w:pPr>
      <w:r>
        <w:rPr>
          <w:rFonts w:ascii="Arial" w:hAnsi="Arial" w:cs="Arial"/>
          <w:b/>
          <w:bCs/>
          <w:color w:val="000000"/>
          <w:sz w:val="20"/>
          <w:szCs w:val="20"/>
        </w:rPr>
        <w:lastRenderedPageBreak/>
        <w:t>Restriction on Storage of Actual Card Data [i.e. Card-</w:t>
      </w:r>
      <w:proofErr w:type="gramStart"/>
      <w:r>
        <w:rPr>
          <w:rFonts w:ascii="Arial" w:hAnsi="Arial" w:cs="Arial"/>
          <w:b/>
          <w:bCs/>
          <w:color w:val="000000"/>
          <w:sz w:val="20"/>
          <w:szCs w:val="20"/>
        </w:rPr>
        <w:t>on</w:t>
      </w:r>
      <w:proofErr w:type="gramEnd"/>
      <w:r>
        <w:rPr>
          <w:rFonts w:ascii="Arial" w:hAnsi="Arial" w:cs="Arial"/>
          <w:b/>
          <w:bCs/>
          <w:color w:val="000000"/>
          <w:sz w:val="20"/>
          <w:szCs w:val="20"/>
        </w:rPr>
        <w:t>-File (</w:t>
      </w:r>
      <w:proofErr w:type="spellStart"/>
      <w:r>
        <w:rPr>
          <w:rFonts w:ascii="Arial" w:hAnsi="Arial" w:cs="Arial"/>
          <w:b/>
          <w:bCs/>
          <w:color w:val="000000"/>
          <w:sz w:val="20"/>
          <w:szCs w:val="20"/>
        </w:rPr>
        <w:t>CoF</w:t>
      </w:r>
      <w:proofErr w:type="spellEnd"/>
      <w:r>
        <w:rPr>
          <w:rFonts w:ascii="Arial" w:hAnsi="Arial" w:cs="Arial"/>
          <w:b/>
          <w:bCs/>
          <w:color w:val="000000"/>
          <w:sz w:val="20"/>
          <w:szCs w:val="20"/>
        </w:rPr>
        <w:t>)]</w:t>
      </w:r>
    </w:p>
    <w:p w:rsidR="00BA0C06" w:rsidRDefault="00BA0C06" w:rsidP="00BA0C06">
      <w:pPr>
        <w:pStyle w:val="NormalWeb"/>
        <w:rPr>
          <w:rFonts w:ascii="Arial" w:hAnsi="Arial" w:cs="Arial"/>
          <w:color w:val="000000"/>
          <w:sz w:val="20"/>
          <w:szCs w:val="20"/>
        </w:rPr>
      </w:pPr>
      <w:r>
        <w:rPr>
          <w:rFonts w:ascii="Arial" w:hAnsi="Arial" w:cs="Arial"/>
          <w:color w:val="000000"/>
          <w:sz w:val="20"/>
          <w:szCs w:val="20"/>
        </w:rPr>
        <w:t>RBI/2022-2023/95</w:t>
      </w:r>
      <w:r>
        <w:rPr>
          <w:rFonts w:ascii="Arial" w:hAnsi="Arial" w:cs="Arial"/>
          <w:color w:val="000000"/>
          <w:sz w:val="20"/>
          <w:szCs w:val="20"/>
        </w:rPr>
        <w:br/>
        <w:t>CO.DPSS.POLC.No.S-760/02-14-003/2022-23</w:t>
      </w:r>
    </w:p>
    <w:p w:rsidR="00BA0C06" w:rsidRDefault="00BA0C06" w:rsidP="00BA0C06">
      <w:pPr>
        <w:pStyle w:val="NormalWeb"/>
        <w:jc w:val="right"/>
        <w:rPr>
          <w:rFonts w:ascii="Arial" w:hAnsi="Arial" w:cs="Arial"/>
          <w:color w:val="000000"/>
          <w:sz w:val="20"/>
          <w:szCs w:val="20"/>
        </w:rPr>
      </w:pPr>
      <w:r>
        <w:rPr>
          <w:rFonts w:ascii="Arial" w:hAnsi="Arial" w:cs="Arial"/>
          <w:color w:val="000000"/>
          <w:sz w:val="20"/>
          <w:szCs w:val="20"/>
        </w:rPr>
        <w:t>July 28, 2022</w:t>
      </w:r>
    </w:p>
    <w:p w:rsidR="00BA0C06" w:rsidRDefault="00BA0C06" w:rsidP="00BA0C06">
      <w:pPr>
        <w:pStyle w:val="NormalWeb"/>
        <w:rPr>
          <w:rFonts w:ascii="Arial" w:hAnsi="Arial" w:cs="Arial"/>
          <w:color w:val="000000"/>
          <w:sz w:val="20"/>
          <w:szCs w:val="20"/>
        </w:rPr>
      </w:pPr>
      <w:r>
        <w:rPr>
          <w:rFonts w:ascii="Arial" w:hAnsi="Arial" w:cs="Arial"/>
          <w:color w:val="000000"/>
          <w:sz w:val="20"/>
          <w:szCs w:val="20"/>
        </w:rPr>
        <w:t>All Payment System Providers and Payment System Participants</w:t>
      </w:r>
    </w:p>
    <w:p w:rsidR="00BA0C06" w:rsidRDefault="00BA0C06" w:rsidP="00BA0C06">
      <w:pPr>
        <w:pStyle w:val="NormalWeb"/>
        <w:rPr>
          <w:rFonts w:ascii="Arial" w:hAnsi="Arial" w:cs="Arial"/>
          <w:color w:val="000000"/>
          <w:sz w:val="20"/>
          <w:szCs w:val="20"/>
        </w:rPr>
      </w:pPr>
      <w:r>
        <w:rPr>
          <w:rFonts w:ascii="Arial" w:hAnsi="Arial" w:cs="Arial"/>
          <w:color w:val="000000"/>
          <w:sz w:val="20"/>
          <w:szCs w:val="20"/>
        </w:rPr>
        <w:t>Madam / Dear Sir,</w:t>
      </w:r>
    </w:p>
    <w:p w:rsidR="00BA0C06" w:rsidRDefault="00BA0C06" w:rsidP="00BA0C06">
      <w:pPr>
        <w:pStyle w:val="head"/>
        <w:rPr>
          <w:rFonts w:ascii="Arial" w:hAnsi="Arial" w:cs="Arial"/>
          <w:b/>
          <w:bCs/>
          <w:color w:val="000000"/>
          <w:sz w:val="20"/>
          <w:szCs w:val="20"/>
        </w:rPr>
      </w:pPr>
      <w:r>
        <w:rPr>
          <w:rFonts w:ascii="Arial" w:hAnsi="Arial" w:cs="Arial"/>
          <w:b/>
          <w:bCs/>
          <w:color w:val="000000"/>
          <w:sz w:val="20"/>
          <w:szCs w:val="20"/>
        </w:rPr>
        <w:t>Restriction on Storage of Actual Card Data [i.e. Card-</w:t>
      </w:r>
      <w:proofErr w:type="gramStart"/>
      <w:r>
        <w:rPr>
          <w:rFonts w:ascii="Arial" w:hAnsi="Arial" w:cs="Arial"/>
          <w:b/>
          <w:bCs/>
          <w:color w:val="000000"/>
          <w:sz w:val="20"/>
          <w:szCs w:val="20"/>
        </w:rPr>
        <w:t>on</w:t>
      </w:r>
      <w:proofErr w:type="gramEnd"/>
      <w:r>
        <w:rPr>
          <w:rFonts w:ascii="Arial" w:hAnsi="Arial" w:cs="Arial"/>
          <w:b/>
          <w:bCs/>
          <w:color w:val="000000"/>
          <w:sz w:val="20"/>
          <w:szCs w:val="20"/>
        </w:rPr>
        <w:t>-File (</w:t>
      </w:r>
      <w:proofErr w:type="spellStart"/>
      <w:r>
        <w:rPr>
          <w:rFonts w:ascii="Arial" w:hAnsi="Arial" w:cs="Arial"/>
          <w:b/>
          <w:bCs/>
          <w:color w:val="000000"/>
          <w:sz w:val="20"/>
          <w:szCs w:val="20"/>
        </w:rPr>
        <w:t>CoF</w:t>
      </w:r>
      <w:proofErr w:type="spellEnd"/>
      <w:r>
        <w:rPr>
          <w:rFonts w:ascii="Arial" w:hAnsi="Arial" w:cs="Arial"/>
          <w:b/>
          <w:bCs/>
          <w:color w:val="000000"/>
          <w:sz w:val="20"/>
          <w:szCs w:val="20"/>
        </w:rPr>
        <w:t>)]</w:t>
      </w:r>
    </w:p>
    <w:p w:rsidR="00BA0C06" w:rsidRDefault="00BA0C06" w:rsidP="00BA0C06">
      <w:pPr>
        <w:pStyle w:val="NormalWeb"/>
        <w:rPr>
          <w:rFonts w:ascii="Arial" w:hAnsi="Arial" w:cs="Arial"/>
          <w:color w:val="000000"/>
          <w:sz w:val="20"/>
          <w:szCs w:val="20"/>
        </w:rPr>
      </w:pPr>
      <w:r>
        <w:rPr>
          <w:rFonts w:ascii="Arial" w:hAnsi="Arial" w:cs="Arial"/>
          <w:color w:val="000000"/>
          <w:sz w:val="20"/>
          <w:szCs w:val="20"/>
        </w:rPr>
        <w:t>Reference is invited to </w:t>
      </w:r>
      <w:hyperlink r:id="rId33" w:tgtFrame="_blank" w:history="1">
        <w:r>
          <w:rPr>
            <w:rStyle w:val="Hyperlink"/>
            <w:rFonts w:ascii="Arial" w:hAnsi="Arial" w:cs="Arial"/>
            <w:sz w:val="20"/>
            <w:szCs w:val="20"/>
          </w:rPr>
          <w:t>Reserve Bank of India (RBI) circulars DPSS.CO.PD.No.1810/02.14.008/2019-20 dated March 17, 2020</w:t>
        </w:r>
      </w:hyperlink>
      <w:r>
        <w:rPr>
          <w:rFonts w:ascii="Arial" w:hAnsi="Arial" w:cs="Arial"/>
          <w:color w:val="000000"/>
          <w:sz w:val="20"/>
          <w:szCs w:val="20"/>
        </w:rPr>
        <w:t> and </w:t>
      </w:r>
      <w:hyperlink r:id="rId34" w:tgtFrame="_blank" w:history="1">
        <w:r>
          <w:rPr>
            <w:rStyle w:val="Hyperlink"/>
            <w:rFonts w:ascii="Arial" w:hAnsi="Arial" w:cs="Arial"/>
            <w:sz w:val="20"/>
            <w:szCs w:val="20"/>
          </w:rPr>
          <w:t>CO.DPSS.POLC.No.S33/02-14-008/2020-2021 dated March 31, 2021</w:t>
        </w:r>
      </w:hyperlink>
      <w:r>
        <w:rPr>
          <w:rFonts w:ascii="Arial" w:hAnsi="Arial" w:cs="Arial"/>
          <w:color w:val="000000"/>
          <w:sz w:val="20"/>
          <w:szCs w:val="20"/>
        </w:rPr>
        <w:t> on “Guidelines on Regulation of Payment Aggregators and Payment Gateways”, </w:t>
      </w:r>
      <w:hyperlink r:id="rId35" w:tgtFrame="_blank" w:history="1">
        <w:r>
          <w:rPr>
            <w:rStyle w:val="Hyperlink"/>
            <w:rFonts w:ascii="Arial" w:hAnsi="Arial" w:cs="Arial"/>
            <w:sz w:val="20"/>
            <w:szCs w:val="20"/>
          </w:rPr>
          <w:t>circular CO.DPSS.POLC.No.S-516/02-14-003/2021-22 dated September 07, 2021</w:t>
        </w:r>
      </w:hyperlink>
      <w:r>
        <w:rPr>
          <w:rFonts w:ascii="Arial" w:hAnsi="Arial" w:cs="Arial"/>
          <w:color w:val="000000"/>
          <w:sz w:val="20"/>
          <w:szCs w:val="20"/>
        </w:rPr>
        <w:t> on “Tokenisation – Card Transactions: Permitting Card-on-File Tokenisation (</w:t>
      </w:r>
      <w:proofErr w:type="spellStart"/>
      <w:r>
        <w:rPr>
          <w:rFonts w:ascii="Arial" w:hAnsi="Arial" w:cs="Arial"/>
          <w:color w:val="000000"/>
          <w:sz w:val="20"/>
          <w:szCs w:val="20"/>
        </w:rPr>
        <w:t>CoFT</w:t>
      </w:r>
      <w:proofErr w:type="spellEnd"/>
      <w:r>
        <w:rPr>
          <w:rFonts w:ascii="Arial" w:hAnsi="Arial" w:cs="Arial"/>
          <w:color w:val="000000"/>
          <w:sz w:val="20"/>
          <w:szCs w:val="20"/>
        </w:rPr>
        <w:t>) Services” and, </w:t>
      </w:r>
      <w:hyperlink r:id="rId36" w:tgtFrame="_blank" w:history="1">
        <w:r>
          <w:rPr>
            <w:rStyle w:val="Hyperlink"/>
            <w:rFonts w:ascii="Arial" w:hAnsi="Arial" w:cs="Arial"/>
            <w:sz w:val="20"/>
            <w:szCs w:val="20"/>
          </w:rPr>
          <w:t>circulars CO.DPSS.POLC.No.S-1211/02-14-003/2021-22 dated December 23, 2021</w:t>
        </w:r>
      </w:hyperlink>
      <w:r>
        <w:rPr>
          <w:rFonts w:ascii="Arial" w:hAnsi="Arial" w:cs="Arial"/>
          <w:color w:val="000000"/>
          <w:sz w:val="20"/>
          <w:szCs w:val="20"/>
        </w:rPr>
        <w:t> and </w:t>
      </w:r>
      <w:hyperlink r:id="rId37" w:tgtFrame="_blank" w:history="1">
        <w:r>
          <w:rPr>
            <w:rStyle w:val="Hyperlink"/>
            <w:rFonts w:ascii="Arial" w:hAnsi="Arial" w:cs="Arial"/>
            <w:sz w:val="20"/>
            <w:szCs w:val="20"/>
          </w:rPr>
          <w:t>CO.DPSS.POLC.No.S-567/02-14-003/2022-23 dated June 24, 2022</w:t>
        </w:r>
      </w:hyperlink>
      <w:r>
        <w:rPr>
          <w:rFonts w:ascii="Arial" w:hAnsi="Arial" w:cs="Arial"/>
          <w:color w:val="000000"/>
          <w:sz w:val="20"/>
          <w:szCs w:val="20"/>
        </w:rPr>
        <w:t> on “Restriction on Storage of Actual Card Data [i.e. Card-on-File (</w:t>
      </w:r>
      <w:proofErr w:type="spellStart"/>
      <w:r>
        <w:rPr>
          <w:rFonts w:ascii="Arial" w:hAnsi="Arial" w:cs="Arial"/>
          <w:color w:val="000000"/>
          <w:sz w:val="20"/>
          <w:szCs w:val="20"/>
        </w:rPr>
        <w:t>CoF</w:t>
      </w:r>
      <w:proofErr w:type="spellEnd"/>
      <w:r>
        <w:rPr>
          <w:rFonts w:ascii="Arial" w:hAnsi="Arial" w:cs="Arial"/>
          <w:color w:val="000000"/>
          <w:sz w:val="20"/>
          <w:szCs w:val="20"/>
        </w:rPr>
        <w:t>)]”.</w:t>
      </w:r>
    </w:p>
    <w:p w:rsidR="00BA0C06" w:rsidRDefault="00BA0C06" w:rsidP="00BA0C06">
      <w:pPr>
        <w:pStyle w:val="NormalWeb"/>
        <w:rPr>
          <w:rFonts w:ascii="Arial" w:hAnsi="Arial" w:cs="Arial"/>
          <w:color w:val="000000"/>
          <w:sz w:val="20"/>
          <w:szCs w:val="20"/>
        </w:rPr>
      </w:pPr>
      <w:r>
        <w:rPr>
          <w:rFonts w:ascii="Arial" w:hAnsi="Arial" w:cs="Arial"/>
          <w:color w:val="000000"/>
          <w:sz w:val="20"/>
          <w:szCs w:val="20"/>
        </w:rPr>
        <w:t xml:space="preserve">2. In terms of the above circulars, with effect from October 1, 2022, no entity in the card transaction / payment chain, other than the card issuers and / or card networks, shall store </w:t>
      </w:r>
      <w:proofErr w:type="spellStart"/>
      <w:r>
        <w:rPr>
          <w:rFonts w:ascii="Arial" w:hAnsi="Arial" w:cs="Arial"/>
          <w:color w:val="000000"/>
          <w:sz w:val="20"/>
          <w:szCs w:val="20"/>
        </w:rPr>
        <w:t>CoF</w:t>
      </w:r>
      <w:proofErr w:type="spellEnd"/>
      <w:r>
        <w:rPr>
          <w:rFonts w:ascii="Arial" w:hAnsi="Arial" w:cs="Arial"/>
          <w:color w:val="000000"/>
          <w:sz w:val="20"/>
          <w:szCs w:val="20"/>
        </w:rPr>
        <w:t xml:space="preserve"> data, and any such data stored previously shall be purged.</w:t>
      </w:r>
    </w:p>
    <w:p w:rsidR="00BA0C06" w:rsidRDefault="00BA0C06" w:rsidP="00BA0C06">
      <w:pPr>
        <w:pStyle w:val="NormalWeb"/>
        <w:spacing w:after="0" w:afterAutospacing="0"/>
        <w:rPr>
          <w:rFonts w:ascii="Arial" w:hAnsi="Arial" w:cs="Arial"/>
          <w:color w:val="000000"/>
          <w:sz w:val="20"/>
          <w:szCs w:val="20"/>
        </w:rPr>
      </w:pPr>
      <w:r>
        <w:rPr>
          <w:rFonts w:ascii="Arial" w:hAnsi="Arial" w:cs="Arial"/>
          <w:color w:val="000000"/>
          <w:sz w:val="20"/>
          <w:szCs w:val="20"/>
        </w:rPr>
        <w:t>3. On a review of the issues involved and after detailed discussions thereon with all stakeholders, as also keeping in view that sufficient time has elapsed since the requirements were specified, the following are advised –</w:t>
      </w:r>
    </w:p>
    <w:p w:rsidR="00BA0C06" w:rsidRDefault="00BA0C06" w:rsidP="00BA0C0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a) There shall be no change in the effective date of implementation of the requirements – all entities, except card issuers and card networks, shall purge the </w:t>
      </w:r>
      <w:proofErr w:type="spellStart"/>
      <w:r>
        <w:rPr>
          <w:rFonts w:ascii="Arial" w:hAnsi="Arial" w:cs="Arial"/>
          <w:color w:val="000000"/>
          <w:sz w:val="20"/>
          <w:szCs w:val="20"/>
        </w:rPr>
        <w:t>CoF</w:t>
      </w:r>
      <w:proofErr w:type="spellEnd"/>
      <w:r>
        <w:rPr>
          <w:rFonts w:ascii="Arial" w:hAnsi="Arial" w:cs="Arial"/>
          <w:color w:val="000000"/>
          <w:sz w:val="20"/>
          <w:szCs w:val="20"/>
        </w:rPr>
        <w:t xml:space="preserve"> data before October 1, 2022.</w:t>
      </w:r>
    </w:p>
    <w:p w:rsidR="00BA0C06" w:rsidRDefault="00BA0C06" w:rsidP="00BA0C06">
      <w:pPr>
        <w:pStyle w:val="NormalWeb"/>
        <w:spacing w:before="0" w:beforeAutospacing="0"/>
        <w:rPr>
          <w:rFonts w:ascii="Arial" w:hAnsi="Arial" w:cs="Arial"/>
          <w:color w:val="000000"/>
          <w:sz w:val="20"/>
          <w:szCs w:val="20"/>
        </w:rPr>
      </w:pPr>
      <w:r>
        <w:rPr>
          <w:rFonts w:ascii="Arial" w:hAnsi="Arial" w:cs="Arial"/>
          <w:color w:val="000000"/>
          <w:sz w:val="20"/>
          <w:szCs w:val="20"/>
        </w:rPr>
        <w:t>b) For ease of transition to an alternate system in respect of transactions where cardholders decide to enter the card details manually at the time of undertaking the transaction (commonly referred to as “guest checkout transactions”), the following are being permitted as an </w:t>
      </w:r>
      <w:r>
        <w:rPr>
          <w:rFonts w:ascii="Arial" w:hAnsi="Arial" w:cs="Arial"/>
          <w:color w:val="000000"/>
          <w:sz w:val="20"/>
          <w:szCs w:val="20"/>
          <w:u w:val="single"/>
        </w:rPr>
        <w:t>interim measure</w:t>
      </w:r>
      <w:r>
        <w:rPr>
          <w:rFonts w:ascii="Arial" w:hAnsi="Arial" w:cs="Arial"/>
          <w:color w:val="000000"/>
          <w:sz w:val="20"/>
          <w:szCs w:val="20"/>
        </w:rPr>
        <w:t> –</w:t>
      </w:r>
    </w:p>
    <w:p w:rsidR="00BA0C06" w:rsidRDefault="00BA0C06" w:rsidP="00DA1141">
      <w:pPr>
        <w:pStyle w:val="NormalWeb"/>
        <w:numPr>
          <w:ilvl w:val="0"/>
          <w:numId w:val="6"/>
        </w:numPr>
        <w:ind w:left="0"/>
        <w:rPr>
          <w:rFonts w:ascii="Arial" w:hAnsi="Arial" w:cs="Arial"/>
          <w:color w:val="000000"/>
          <w:sz w:val="20"/>
          <w:szCs w:val="20"/>
        </w:rPr>
      </w:pPr>
      <w:r>
        <w:rPr>
          <w:rFonts w:ascii="Arial" w:hAnsi="Arial" w:cs="Arial"/>
          <w:color w:val="000000"/>
          <w:sz w:val="20"/>
          <w:szCs w:val="20"/>
        </w:rPr>
        <w:t xml:space="preserve">Other than the card issuer and the card network, the merchant or its Payment Aggregator (PA) involved in settlement of such transactions, can save the </w:t>
      </w:r>
      <w:proofErr w:type="spellStart"/>
      <w:r>
        <w:rPr>
          <w:rFonts w:ascii="Arial" w:hAnsi="Arial" w:cs="Arial"/>
          <w:color w:val="000000"/>
          <w:sz w:val="20"/>
          <w:szCs w:val="20"/>
        </w:rPr>
        <w:t>CoF</w:t>
      </w:r>
      <w:proofErr w:type="spellEnd"/>
      <w:r>
        <w:rPr>
          <w:rFonts w:ascii="Arial" w:hAnsi="Arial" w:cs="Arial"/>
          <w:color w:val="000000"/>
          <w:sz w:val="20"/>
          <w:szCs w:val="20"/>
        </w:rPr>
        <w:t xml:space="preserve"> data for a maximum period of T+4 days (“T” being the transaction date) or till the settlement date, whichever is earlier. This data shall be used only for settlement of such transactions, and must be purged thereafter.</w:t>
      </w:r>
    </w:p>
    <w:p w:rsidR="00BA0C06" w:rsidRDefault="00BA0C06" w:rsidP="00DA1141">
      <w:pPr>
        <w:pStyle w:val="NormalWeb"/>
        <w:numPr>
          <w:ilvl w:val="0"/>
          <w:numId w:val="6"/>
        </w:numPr>
        <w:ind w:left="0"/>
        <w:rPr>
          <w:rFonts w:ascii="Arial" w:hAnsi="Arial" w:cs="Arial"/>
          <w:color w:val="000000"/>
          <w:sz w:val="20"/>
          <w:szCs w:val="20"/>
        </w:rPr>
      </w:pPr>
      <w:r>
        <w:rPr>
          <w:rFonts w:ascii="Arial" w:hAnsi="Arial" w:cs="Arial"/>
          <w:color w:val="000000"/>
          <w:sz w:val="20"/>
          <w:szCs w:val="20"/>
        </w:rPr>
        <w:t xml:space="preserve">For handling other post-transaction activities, acquiring banks can continue to store </w:t>
      </w:r>
      <w:proofErr w:type="spellStart"/>
      <w:r>
        <w:rPr>
          <w:rFonts w:ascii="Arial" w:hAnsi="Arial" w:cs="Arial"/>
          <w:color w:val="000000"/>
          <w:sz w:val="20"/>
          <w:szCs w:val="20"/>
        </w:rPr>
        <w:t>CoF</w:t>
      </w:r>
      <w:proofErr w:type="spellEnd"/>
      <w:r>
        <w:rPr>
          <w:rFonts w:ascii="Arial" w:hAnsi="Arial" w:cs="Arial"/>
          <w:color w:val="000000"/>
          <w:sz w:val="20"/>
          <w:szCs w:val="20"/>
        </w:rPr>
        <w:t xml:space="preserve"> data until January 31, 2023.</w:t>
      </w:r>
    </w:p>
    <w:p w:rsidR="00BA0C06" w:rsidRDefault="00BA0C06" w:rsidP="00BA0C06">
      <w:pPr>
        <w:pStyle w:val="NormalWeb"/>
        <w:rPr>
          <w:rFonts w:ascii="Arial" w:hAnsi="Arial" w:cs="Arial"/>
          <w:color w:val="000000"/>
          <w:sz w:val="20"/>
          <w:szCs w:val="20"/>
        </w:rPr>
      </w:pPr>
      <w:r>
        <w:rPr>
          <w:rFonts w:ascii="Arial" w:hAnsi="Arial" w:cs="Arial"/>
          <w:color w:val="000000"/>
          <w:sz w:val="20"/>
          <w:szCs w:val="20"/>
        </w:rPr>
        <w:t>4. Appropriate penal action, including imposition of business restrictions, shall be considered by the RBI in case of any non-compliance.</w:t>
      </w:r>
    </w:p>
    <w:p w:rsidR="00BA0C06" w:rsidRDefault="00BA0C06" w:rsidP="00BA0C06">
      <w:pPr>
        <w:pStyle w:val="NormalWeb"/>
        <w:rPr>
          <w:rFonts w:ascii="Arial" w:hAnsi="Arial" w:cs="Arial"/>
          <w:color w:val="000000"/>
          <w:sz w:val="20"/>
          <w:szCs w:val="20"/>
        </w:rPr>
      </w:pPr>
      <w:r>
        <w:rPr>
          <w:rFonts w:ascii="Arial" w:hAnsi="Arial" w:cs="Arial"/>
          <w:color w:val="000000"/>
          <w:sz w:val="20"/>
          <w:szCs w:val="20"/>
        </w:rPr>
        <w:t>5. This directive is issued under Section 10 (2) read with Section 18 of the Payment and Settlement Systems Act, 2007 (Act 51 of 2007).</w:t>
      </w:r>
    </w:p>
    <w:p w:rsidR="00BA0C06" w:rsidRDefault="00BA0C06" w:rsidP="00BA0C06">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rsidR="00BA0C06" w:rsidRDefault="00BA0C06" w:rsidP="00BA0C0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(P. </w:t>
      </w:r>
      <w:proofErr w:type="spellStart"/>
      <w:r>
        <w:rPr>
          <w:rFonts w:ascii="Arial" w:hAnsi="Arial" w:cs="Arial"/>
          <w:color w:val="000000"/>
          <w:sz w:val="20"/>
          <w:szCs w:val="20"/>
        </w:rPr>
        <w:t>Vasudevan</w:t>
      </w:r>
      <w:proofErr w:type="spellEnd"/>
      <w:r>
        <w:rPr>
          <w:rFonts w:ascii="Arial" w:hAnsi="Arial" w:cs="Arial"/>
          <w:color w:val="000000"/>
          <w:sz w:val="20"/>
          <w:szCs w:val="20"/>
        </w:rPr>
        <w:t>)</w:t>
      </w:r>
      <w:r>
        <w:rPr>
          <w:rFonts w:ascii="Arial" w:hAnsi="Arial" w:cs="Arial"/>
          <w:color w:val="000000"/>
          <w:sz w:val="20"/>
          <w:szCs w:val="20"/>
        </w:rPr>
        <w:br/>
        <w:t>Chief General Manager</w:t>
      </w:r>
    </w:p>
    <w:p w:rsidR="00BA0C06" w:rsidRDefault="00BA0C06" w:rsidP="00BA0C06">
      <w:pPr>
        <w:rPr>
          <w:rFonts w:ascii="Arial" w:hAnsi="Arial" w:cs="Arial"/>
          <w:sz w:val="20"/>
          <w:szCs w:val="20"/>
        </w:rPr>
      </w:pPr>
    </w:p>
    <w:p w:rsidR="00BA0C06" w:rsidRDefault="00BA0C06" w:rsidP="00BA0C06">
      <w:pPr>
        <w:rPr>
          <w:rFonts w:ascii="Arial" w:hAnsi="Arial" w:cs="Arial"/>
          <w:sz w:val="20"/>
          <w:szCs w:val="20"/>
        </w:rPr>
      </w:pPr>
    </w:p>
    <w:p w:rsidR="00BA0C06" w:rsidRDefault="00BA0C06" w:rsidP="00BA0C06">
      <w:r>
        <w:t>More details can be referred to in the below link.</w:t>
      </w:r>
    </w:p>
    <w:p w:rsidR="00BA0C06" w:rsidRDefault="00BA0C06" w:rsidP="00BA0C06">
      <w:pPr>
        <w:rPr>
          <w:rFonts w:ascii="Arial" w:hAnsi="Arial" w:cs="Arial"/>
          <w:bCs/>
          <w:color w:val="000000"/>
          <w:sz w:val="20"/>
          <w:szCs w:val="20"/>
        </w:rPr>
      </w:pPr>
      <w:r>
        <w:rPr>
          <w:rFonts w:ascii="Arial" w:hAnsi="Arial" w:cs="Arial"/>
          <w:bCs/>
          <w:color w:val="000000"/>
          <w:sz w:val="20"/>
          <w:szCs w:val="20"/>
        </w:rPr>
        <w:t xml:space="preserve">Reference Link: </w:t>
      </w:r>
      <w:hyperlink r:id="rId38" w:history="1">
        <w:r w:rsidRPr="006865D6">
          <w:rPr>
            <w:rStyle w:val="Hyperlink"/>
            <w:rFonts w:ascii="Arial" w:hAnsi="Arial" w:cs="Arial"/>
            <w:bCs/>
            <w:sz w:val="20"/>
            <w:szCs w:val="20"/>
          </w:rPr>
          <w:t>https://www.rbi.org.in/scripts/BS_CircularIndexDisplay.aspx?Id=12363</w:t>
        </w:r>
      </w:hyperlink>
    </w:p>
    <w:p w:rsidR="00BA0C06" w:rsidRPr="00583041" w:rsidRDefault="00BA0C06" w:rsidP="00BA0C06">
      <w:pPr>
        <w:spacing w:after="0"/>
        <w:jc w:val="both"/>
        <w:rPr>
          <w:rFonts w:ascii="Arial" w:hAnsi="Arial" w:cs="Arial"/>
          <w:b/>
          <w:sz w:val="20"/>
          <w:szCs w:val="20"/>
        </w:rPr>
      </w:pPr>
      <w:r w:rsidRPr="00583041">
        <w:rPr>
          <w:rFonts w:ascii="Arial" w:hAnsi="Arial" w:cs="Arial"/>
          <w:b/>
          <w:sz w:val="20"/>
          <w:szCs w:val="20"/>
        </w:rPr>
        <w:lastRenderedPageBreak/>
        <w:t>Foreign Exchange Management (Borrowing and Lending) (Amendment) Regulations, 2022</w:t>
      </w:r>
    </w:p>
    <w:p w:rsidR="00BA0C06" w:rsidRPr="00583041" w:rsidRDefault="00BA0C06" w:rsidP="00BA0C06">
      <w:pPr>
        <w:spacing w:after="0"/>
        <w:jc w:val="both"/>
        <w:rPr>
          <w:rFonts w:ascii="Arial" w:hAnsi="Arial" w:cs="Arial"/>
          <w:sz w:val="20"/>
          <w:szCs w:val="20"/>
        </w:rPr>
      </w:pPr>
    </w:p>
    <w:p w:rsidR="00BA0C06" w:rsidRPr="00583041" w:rsidRDefault="00BA0C06" w:rsidP="00BA0C06">
      <w:pPr>
        <w:spacing w:after="0"/>
        <w:jc w:val="both"/>
        <w:rPr>
          <w:rFonts w:ascii="Arial" w:hAnsi="Arial" w:cs="Arial"/>
          <w:sz w:val="20"/>
          <w:szCs w:val="20"/>
        </w:rPr>
      </w:pPr>
      <w:r w:rsidRPr="00583041">
        <w:rPr>
          <w:rFonts w:ascii="Arial" w:hAnsi="Arial" w:cs="Arial"/>
          <w:sz w:val="20"/>
          <w:szCs w:val="20"/>
        </w:rPr>
        <w:t>Reserve Bank of India</w:t>
      </w:r>
    </w:p>
    <w:p w:rsidR="00BA0C06" w:rsidRPr="00583041" w:rsidRDefault="00BA0C06" w:rsidP="00BA0C06">
      <w:pPr>
        <w:spacing w:after="0"/>
        <w:jc w:val="both"/>
        <w:rPr>
          <w:rFonts w:ascii="Arial" w:hAnsi="Arial" w:cs="Arial"/>
          <w:sz w:val="20"/>
          <w:szCs w:val="20"/>
        </w:rPr>
      </w:pPr>
      <w:r w:rsidRPr="00583041">
        <w:rPr>
          <w:rFonts w:ascii="Arial" w:hAnsi="Arial" w:cs="Arial"/>
          <w:sz w:val="20"/>
          <w:szCs w:val="20"/>
        </w:rPr>
        <w:t>Foreign Exchange Department</w:t>
      </w:r>
    </w:p>
    <w:p w:rsidR="00BA0C06" w:rsidRPr="00583041" w:rsidRDefault="00BA0C06" w:rsidP="00BA0C06">
      <w:pPr>
        <w:spacing w:after="0"/>
        <w:jc w:val="both"/>
        <w:rPr>
          <w:rFonts w:ascii="Arial" w:hAnsi="Arial" w:cs="Arial"/>
          <w:sz w:val="20"/>
          <w:szCs w:val="20"/>
        </w:rPr>
      </w:pPr>
      <w:r w:rsidRPr="00583041">
        <w:rPr>
          <w:rFonts w:ascii="Arial" w:hAnsi="Arial" w:cs="Arial"/>
          <w:sz w:val="20"/>
          <w:szCs w:val="20"/>
        </w:rPr>
        <w:t>Central Office</w:t>
      </w:r>
    </w:p>
    <w:p w:rsidR="00BA0C06" w:rsidRPr="00583041" w:rsidRDefault="00BA0C06" w:rsidP="00BA0C06">
      <w:pPr>
        <w:spacing w:after="0"/>
        <w:jc w:val="both"/>
        <w:rPr>
          <w:rFonts w:ascii="Arial" w:hAnsi="Arial" w:cs="Arial"/>
          <w:sz w:val="20"/>
          <w:szCs w:val="20"/>
        </w:rPr>
      </w:pPr>
      <w:r w:rsidRPr="00583041">
        <w:rPr>
          <w:rFonts w:ascii="Arial" w:hAnsi="Arial" w:cs="Arial"/>
          <w:sz w:val="20"/>
          <w:szCs w:val="20"/>
        </w:rPr>
        <w:t>Mumbai</w:t>
      </w:r>
    </w:p>
    <w:p w:rsidR="00BA0C06" w:rsidRPr="00583041" w:rsidRDefault="00BA0C06" w:rsidP="00BA0C06">
      <w:pPr>
        <w:spacing w:after="0"/>
        <w:jc w:val="both"/>
        <w:rPr>
          <w:rFonts w:ascii="Arial" w:hAnsi="Arial" w:cs="Arial"/>
          <w:sz w:val="20"/>
          <w:szCs w:val="20"/>
        </w:rPr>
      </w:pPr>
    </w:p>
    <w:p w:rsidR="00BA0C06" w:rsidRPr="00583041" w:rsidRDefault="00BA0C06" w:rsidP="00BA0C06">
      <w:pPr>
        <w:spacing w:after="0"/>
        <w:jc w:val="both"/>
        <w:rPr>
          <w:rFonts w:ascii="Arial" w:hAnsi="Arial" w:cs="Arial"/>
          <w:sz w:val="20"/>
          <w:szCs w:val="20"/>
        </w:rPr>
      </w:pPr>
      <w:r w:rsidRPr="00583041">
        <w:rPr>
          <w:rFonts w:ascii="Arial" w:hAnsi="Arial" w:cs="Arial"/>
          <w:sz w:val="20"/>
          <w:szCs w:val="20"/>
        </w:rPr>
        <w:t>Notification No. FEMA.3(R)(3)/2022-RB</w:t>
      </w:r>
    </w:p>
    <w:p w:rsidR="00BA0C06" w:rsidRPr="00583041" w:rsidRDefault="00BA0C06" w:rsidP="00BA0C06">
      <w:pPr>
        <w:spacing w:after="0"/>
        <w:jc w:val="both"/>
        <w:rPr>
          <w:rFonts w:ascii="Arial" w:hAnsi="Arial" w:cs="Arial"/>
          <w:sz w:val="20"/>
          <w:szCs w:val="20"/>
        </w:rPr>
      </w:pPr>
    </w:p>
    <w:p w:rsidR="00BA0C06" w:rsidRPr="00583041" w:rsidRDefault="00BA0C06" w:rsidP="00BA0C06">
      <w:pPr>
        <w:spacing w:after="0"/>
        <w:jc w:val="right"/>
        <w:rPr>
          <w:rFonts w:ascii="Arial" w:hAnsi="Arial" w:cs="Arial"/>
          <w:sz w:val="20"/>
          <w:szCs w:val="20"/>
        </w:rPr>
      </w:pPr>
      <w:r w:rsidRPr="00583041">
        <w:rPr>
          <w:rFonts w:ascii="Arial" w:hAnsi="Arial" w:cs="Arial"/>
          <w:sz w:val="20"/>
          <w:szCs w:val="20"/>
        </w:rPr>
        <w:t>July 28, 2022</w:t>
      </w:r>
    </w:p>
    <w:p w:rsidR="00BA0C06" w:rsidRPr="00583041" w:rsidRDefault="00BA0C06" w:rsidP="00BA0C06">
      <w:pPr>
        <w:spacing w:after="0"/>
        <w:jc w:val="both"/>
        <w:rPr>
          <w:rFonts w:ascii="Arial" w:hAnsi="Arial" w:cs="Arial"/>
          <w:sz w:val="20"/>
          <w:szCs w:val="20"/>
        </w:rPr>
      </w:pPr>
    </w:p>
    <w:p w:rsidR="00BA0C06" w:rsidRPr="00583041" w:rsidRDefault="00BA0C06" w:rsidP="00BA0C06">
      <w:pPr>
        <w:spacing w:after="0"/>
        <w:jc w:val="both"/>
        <w:rPr>
          <w:rFonts w:ascii="Arial" w:hAnsi="Arial" w:cs="Arial"/>
          <w:b/>
          <w:sz w:val="20"/>
          <w:szCs w:val="20"/>
        </w:rPr>
      </w:pPr>
      <w:r w:rsidRPr="00583041">
        <w:rPr>
          <w:rFonts w:ascii="Arial" w:hAnsi="Arial" w:cs="Arial"/>
          <w:b/>
          <w:sz w:val="20"/>
          <w:szCs w:val="20"/>
        </w:rPr>
        <w:t>Foreign Exchange Management (Borrowing and Lending) (Amendment) Regulations, 2022</w:t>
      </w:r>
    </w:p>
    <w:p w:rsidR="00BA0C06" w:rsidRPr="00583041" w:rsidRDefault="00BA0C06" w:rsidP="00BA0C06">
      <w:pPr>
        <w:spacing w:after="0"/>
        <w:jc w:val="both"/>
        <w:rPr>
          <w:rFonts w:ascii="Arial" w:hAnsi="Arial" w:cs="Arial"/>
          <w:sz w:val="20"/>
          <w:szCs w:val="20"/>
        </w:rPr>
      </w:pPr>
    </w:p>
    <w:p w:rsidR="00BA0C06" w:rsidRPr="00583041" w:rsidRDefault="00BA0C06" w:rsidP="00BA0C06">
      <w:pPr>
        <w:spacing w:after="0"/>
        <w:jc w:val="both"/>
        <w:rPr>
          <w:rFonts w:ascii="Arial" w:hAnsi="Arial" w:cs="Arial"/>
          <w:sz w:val="20"/>
          <w:szCs w:val="20"/>
        </w:rPr>
      </w:pPr>
      <w:r w:rsidRPr="00583041">
        <w:rPr>
          <w:rFonts w:ascii="Arial" w:hAnsi="Arial" w:cs="Arial"/>
          <w:sz w:val="20"/>
          <w:szCs w:val="20"/>
        </w:rPr>
        <w:t>In exercise of the powers conferred by sub-section (2) of Section 6 and Section 47 of the Foreign Exchange Management Act, 1999 (42 of 1999), the Reserve Bank of India hereby makes the following amendments to the Foreign Exchange Management (Borrowing and Lending) Regulations, 2018 (Notification No. FEMA.3(R)/2018-RB dated December 17, 2018) (hereinafter referred to as 'the Principal Regulations'), namely:</w:t>
      </w:r>
    </w:p>
    <w:p w:rsidR="00BA0C06" w:rsidRPr="00583041" w:rsidRDefault="00BA0C06" w:rsidP="00BA0C06">
      <w:pPr>
        <w:spacing w:after="0"/>
        <w:jc w:val="both"/>
        <w:rPr>
          <w:rFonts w:ascii="Arial" w:hAnsi="Arial" w:cs="Arial"/>
          <w:sz w:val="20"/>
          <w:szCs w:val="20"/>
        </w:rPr>
      </w:pPr>
    </w:p>
    <w:p w:rsidR="00BA0C06" w:rsidRPr="00583041" w:rsidRDefault="00BA0C06" w:rsidP="00BA0C06">
      <w:pPr>
        <w:spacing w:after="0"/>
        <w:jc w:val="both"/>
        <w:rPr>
          <w:rFonts w:ascii="Arial" w:hAnsi="Arial" w:cs="Arial"/>
          <w:sz w:val="20"/>
          <w:szCs w:val="20"/>
        </w:rPr>
      </w:pPr>
      <w:r w:rsidRPr="00583041">
        <w:rPr>
          <w:rFonts w:ascii="Arial" w:hAnsi="Arial" w:cs="Arial"/>
          <w:sz w:val="20"/>
          <w:szCs w:val="20"/>
        </w:rPr>
        <w:t>1. Short Title &amp; Commencement:</w:t>
      </w:r>
    </w:p>
    <w:p w:rsidR="00BA0C06" w:rsidRPr="00583041" w:rsidRDefault="00BA0C06" w:rsidP="00BA0C06">
      <w:pPr>
        <w:spacing w:after="0"/>
        <w:jc w:val="both"/>
        <w:rPr>
          <w:rFonts w:ascii="Arial" w:hAnsi="Arial" w:cs="Arial"/>
          <w:sz w:val="20"/>
          <w:szCs w:val="20"/>
        </w:rPr>
      </w:pPr>
    </w:p>
    <w:p w:rsidR="00BA0C06" w:rsidRPr="00583041" w:rsidRDefault="00BA0C06" w:rsidP="00BA0C06">
      <w:pPr>
        <w:spacing w:after="0"/>
        <w:jc w:val="both"/>
        <w:rPr>
          <w:rFonts w:ascii="Arial" w:hAnsi="Arial" w:cs="Arial"/>
          <w:sz w:val="20"/>
          <w:szCs w:val="20"/>
        </w:rPr>
      </w:pPr>
      <w:r w:rsidRPr="00583041">
        <w:rPr>
          <w:rFonts w:ascii="Arial" w:hAnsi="Arial" w:cs="Arial"/>
          <w:sz w:val="20"/>
          <w:szCs w:val="20"/>
        </w:rPr>
        <w:t>(i) These Regulations may be called the Foreign Exchange Management (Borrowing and Lending) (Third Amendment) Regulations, 2022.</w:t>
      </w:r>
    </w:p>
    <w:p w:rsidR="00BA0C06" w:rsidRPr="00583041" w:rsidRDefault="00BA0C06" w:rsidP="00BA0C06">
      <w:pPr>
        <w:spacing w:after="0"/>
        <w:jc w:val="both"/>
        <w:rPr>
          <w:rFonts w:ascii="Arial" w:hAnsi="Arial" w:cs="Arial"/>
          <w:sz w:val="20"/>
          <w:szCs w:val="20"/>
        </w:rPr>
      </w:pPr>
    </w:p>
    <w:p w:rsidR="00BA0C06" w:rsidRPr="00583041" w:rsidRDefault="00BA0C06" w:rsidP="00BA0C06">
      <w:pPr>
        <w:spacing w:after="0"/>
        <w:jc w:val="both"/>
        <w:rPr>
          <w:rFonts w:ascii="Arial" w:hAnsi="Arial" w:cs="Arial"/>
          <w:sz w:val="20"/>
          <w:szCs w:val="20"/>
        </w:rPr>
      </w:pPr>
      <w:r w:rsidRPr="00583041">
        <w:rPr>
          <w:rFonts w:ascii="Arial" w:hAnsi="Arial" w:cs="Arial"/>
          <w:sz w:val="20"/>
          <w:szCs w:val="20"/>
        </w:rPr>
        <w:t>(ii) They shall come into force from the date of notification in the official gazette.</w:t>
      </w:r>
    </w:p>
    <w:p w:rsidR="00BA0C06" w:rsidRPr="00583041" w:rsidRDefault="00BA0C06" w:rsidP="00BA0C06">
      <w:pPr>
        <w:spacing w:after="0"/>
        <w:jc w:val="both"/>
        <w:rPr>
          <w:rFonts w:ascii="Arial" w:hAnsi="Arial" w:cs="Arial"/>
          <w:sz w:val="20"/>
          <w:szCs w:val="20"/>
        </w:rPr>
      </w:pPr>
    </w:p>
    <w:p w:rsidR="00BA0C06" w:rsidRPr="00583041" w:rsidRDefault="00BA0C06" w:rsidP="00BA0C06">
      <w:pPr>
        <w:spacing w:after="0"/>
        <w:jc w:val="both"/>
        <w:rPr>
          <w:rFonts w:ascii="Arial" w:hAnsi="Arial" w:cs="Arial"/>
          <w:sz w:val="20"/>
          <w:szCs w:val="20"/>
        </w:rPr>
      </w:pPr>
      <w:r w:rsidRPr="00583041">
        <w:rPr>
          <w:rFonts w:ascii="Arial" w:hAnsi="Arial" w:cs="Arial"/>
          <w:sz w:val="20"/>
          <w:szCs w:val="20"/>
        </w:rPr>
        <w:t>2. Amendment to Paragraph 2 of Schedule 1:</w:t>
      </w:r>
    </w:p>
    <w:p w:rsidR="00BA0C06" w:rsidRPr="00583041" w:rsidRDefault="00BA0C06" w:rsidP="00BA0C06">
      <w:pPr>
        <w:spacing w:after="0"/>
        <w:jc w:val="both"/>
        <w:rPr>
          <w:rFonts w:ascii="Arial" w:hAnsi="Arial" w:cs="Arial"/>
          <w:sz w:val="20"/>
          <w:szCs w:val="20"/>
        </w:rPr>
      </w:pPr>
    </w:p>
    <w:p w:rsidR="00BA0C06" w:rsidRPr="00583041" w:rsidRDefault="00BA0C06" w:rsidP="00BA0C06">
      <w:pPr>
        <w:spacing w:after="0"/>
        <w:jc w:val="both"/>
        <w:rPr>
          <w:rFonts w:ascii="Arial" w:hAnsi="Arial" w:cs="Arial"/>
          <w:sz w:val="20"/>
          <w:szCs w:val="20"/>
        </w:rPr>
      </w:pPr>
      <w:r w:rsidRPr="00583041">
        <w:rPr>
          <w:rFonts w:ascii="Arial" w:hAnsi="Arial" w:cs="Arial"/>
          <w:sz w:val="20"/>
          <w:szCs w:val="20"/>
        </w:rPr>
        <w:t>After Paragraph 8 of Schedule 1 to the Principal Regulations, the following shall be added;</w:t>
      </w:r>
    </w:p>
    <w:p w:rsidR="00BA0C06" w:rsidRPr="00583041" w:rsidRDefault="00BA0C06" w:rsidP="00BA0C06">
      <w:pPr>
        <w:spacing w:after="0"/>
        <w:jc w:val="both"/>
        <w:rPr>
          <w:rFonts w:ascii="Arial" w:hAnsi="Arial" w:cs="Arial"/>
          <w:sz w:val="20"/>
          <w:szCs w:val="20"/>
        </w:rPr>
      </w:pPr>
    </w:p>
    <w:p w:rsidR="00BA0C06" w:rsidRPr="00583041" w:rsidRDefault="00BA0C06" w:rsidP="00BA0C06">
      <w:pPr>
        <w:spacing w:after="0"/>
        <w:jc w:val="both"/>
        <w:rPr>
          <w:rFonts w:ascii="Arial" w:hAnsi="Arial" w:cs="Arial"/>
          <w:sz w:val="20"/>
          <w:szCs w:val="20"/>
        </w:rPr>
      </w:pPr>
      <w:r w:rsidRPr="00583041">
        <w:rPr>
          <w:rFonts w:ascii="Arial" w:hAnsi="Arial" w:cs="Arial"/>
          <w:sz w:val="20"/>
          <w:szCs w:val="20"/>
        </w:rPr>
        <w:t>“8A: The limit of USD 750 million or equivalent per financial year is temporarily increased to USD 1500 million or equivalent. This dispensation will be available for ECBs raised till December 31, 2022.”</w:t>
      </w:r>
    </w:p>
    <w:p w:rsidR="00BA0C06" w:rsidRPr="00583041" w:rsidRDefault="00BA0C06" w:rsidP="00BA0C06">
      <w:pPr>
        <w:spacing w:after="0"/>
        <w:jc w:val="both"/>
        <w:rPr>
          <w:rFonts w:ascii="Arial" w:hAnsi="Arial" w:cs="Arial"/>
          <w:sz w:val="20"/>
          <w:szCs w:val="20"/>
        </w:rPr>
      </w:pPr>
    </w:p>
    <w:p w:rsidR="00BA0C06" w:rsidRPr="00583041" w:rsidRDefault="00BA0C06" w:rsidP="00BA0C06">
      <w:pPr>
        <w:spacing w:after="0"/>
        <w:jc w:val="both"/>
        <w:rPr>
          <w:rFonts w:ascii="Arial" w:hAnsi="Arial" w:cs="Arial"/>
          <w:sz w:val="20"/>
          <w:szCs w:val="20"/>
        </w:rPr>
      </w:pPr>
      <w:r w:rsidRPr="00583041">
        <w:rPr>
          <w:rFonts w:ascii="Arial" w:hAnsi="Arial" w:cs="Arial"/>
          <w:sz w:val="20"/>
          <w:szCs w:val="20"/>
        </w:rPr>
        <w:t xml:space="preserve">(Ajay Kumar </w:t>
      </w:r>
      <w:proofErr w:type="spellStart"/>
      <w:r w:rsidRPr="00583041">
        <w:rPr>
          <w:rFonts w:ascii="Arial" w:hAnsi="Arial" w:cs="Arial"/>
          <w:sz w:val="20"/>
          <w:szCs w:val="20"/>
        </w:rPr>
        <w:t>Misra</w:t>
      </w:r>
      <w:proofErr w:type="spellEnd"/>
      <w:r w:rsidRPr="00583041">
        <w:rPr>
          <w:rFonts w:ascii="Arial" w:hAnsi="Arial" w:cs="Arial"/>
          <w:sz w:val="20"/>
          <w:szCs w:val="20"/>
        </w:rPr>
        <w:t>)</w:t>
      </w:r>
    </w:p>
    <w:p w:rsidR="00BA0C06" w:rsidRDefault="00BA0C06" w:rsidP="00BA0C06">
      <w:pPr>
        <w:spacing w:after="0"/>
        <w:jc w:val="both"/>
        <w:rPr>
          <w:rFonts w:ascii="Arial" w:hAnsi="Arial" w:cs="Arial"/>
          <w:sz w:val="20"/>
          <w:szCs w:val="20"/>
        </w:rPr>
      </w:pPr>
      <w:r w:rsidRPr="00583041">
        <w:rPr>
          <w:rFonts w:ascii="Arial" w:hAnsi="Arial" w:cs="Arial"/>
          <w:sz w:val="20"/>
          <w:szCs w:val="20"/>
        </w:rPr>
        <w:t>Chief General Manager-in-charge</w:t>
      </w:r>
    </w:p>
    <w:p w:rsidR="00BA0C06" w:rsidRDefault="00BA0C06" w:rsidP="00BA0C06"/>
    <w:p w:rsidR="00BA0C06" w:rsidRDefault="00BA0C06" w:rsidP="00BA0C06"/>
    <w:p w:rsidR="00BA0C06" w:rsidRDefault="00BA0C06" w:rsidP="00BA0C06">
      <w:r>
        <w:t>More details can be referred to in the below link.</w:t>
      </w:r>
    </w:p>
    <w:p w:rsidR="00BA0C06" w:rsidRDefault="00BA0C06" w:rsidP="00BA0C06">
      <w:pPr>
        <w:rPr>
          <w:rFonts w:ascii="Arial" w:hAnsi="Arial" w:cs="Arial"/>
          <w:sz w:val="20"/>
          <w:szCs w:val="20"/>
        </w:rPr>
      </w:pPr>
      <w:r>
        <w:rPr>
          <w:rFonts w:ascii="Arial" w:hAnsi="Arial" w:cs="Arial"/>
          <w:sz w:val="20"/>
          <w:szCs w:val="20"/>
        </w:rPr>
        <w:t xml:space="preserve">Reference Link: </w:t>
      </w:r>
      <w:hyperlink r:id="rId39" w:anchor=":~:text=%E2%80%9C8A%3A%20The%20limit%20of%20USD,till%20December%2031%2C%202022.%E2%80%9D&amp;text=Foot%20Note%3A%20%2D%20The%20Principal%20Regulations,No" w:history="1">
        <w:r w:rsidRPr="00200311">
          <w:rPr>
            <w:rStyle w:val="Hyperlink"/>
            <w:rFonts w:ascii="Arial" w:hAnsi="Arial" w:cs="Arial"/>
            <w:sz w:val="20"/>
            <w:szCs w:val="20"/>
          </w:rPr>
          <w:t>https://www.rbi.org.in/scripts/FS_Notification.aspx?Id=12377&amp;fn=5&amp;Mode=0#:~:text=%E2%80%9C8A%3A%20The%20limit%20of%20USD,till%20December%2031%2C%202022.%E2%80%9D&amp;text=Foot%20Note%3A%20%2D%20The%20Principal%20Regulations,No</w:t>
        </w:r>
      </w:hyperlink>
      <w:r w:rsidRPr="002A3764">
        <w:rPr>
          <w:rFonts w:ascii="Arial" w:hAnsi="Arial" w:cs="Arial"/>
          <w:sz w:val="20"/>
          <w:szCs w:val="20"/>
        </w:rPr>
        <w:t>.</w:t>
      </w:r>
    </w:p>
    <w:p w:rsidR="00BA0C06" w:rsidRDefault="00BA0C06" w:rsidP="00BA0C06">
      <w:pPr>
        <w:jc w:val="both"/>
        <w:rPr>
          <w:rFonts w:ascii="Arial" w:hAnsi="Arial" w:cs="Arial"/>
          <w:b/>
          <w:bCs/>
          <w:color w:val="000000"/>
          <w:sz w:val="20"/>
          <w:szCs w:val="20"/>
        </w:rPr>
      </w:pPr>
    </w:p>
    <w:p w:rsidR="00BA0C06" w:rsidRDefault="00BA0C06" w:rsidP="00BA0C06">
      <w:pPr>
        <w:jc w:val="both"/>
        <w:rPr>
          <w:rFonts w:ascii="Arial" w:hAnsi="Arial" w:cs="Arial"/>
          <w:b/>
          <w:bCs/>
          <w:color w:val="000000"/>
          <w:sz w:val="20"/>
          <w:szCs w:val="20"/>
        </w:rPr>
      </w:pPr>
    </w:p>
    <w:p w:rsidR="00BA0C06" w:rsidRDefault="00BA0C06" w:rsidP="00BA0C06">
      <w:pPr>
        <w:jc w:val="both"/>
        <w:rPr>
          <w:rFonts w:ascii="Arial" w:hAnsi="Arial" w:cs="Arial"/>
          <w:b/>
          <w:bCs/>
          <w:color w:val="000000"/>
          <w:sz w:val="20"/>
          <w:szCs w:val="20"/>
        </w:rPr>
      </w:pPr>
    </w:p>
    <w:p w:rsidR="00BA0C06" w:rsidRDefault="00BA0C06" w:rsidP="00BA0C06">
      <w:pPr>
        <w:jc w:val="both"/>
        <w:rPr>
          <w:rFonts w:ascii="Arial" w:hAnsi="Arial" w:cs="Arial"/>
          <w:b/>
          <w:bCs/>
          <w:color w:val="000000"/>
          <w:sz w:val="20"/>
          <w:szCs w:val="20"/>
        </w:rPr>
      </w:pPr>
    </w:p>
    <w:p w:rsidR="00BA0C06" w:rsidRDefault="00BA0C06" w:rsidP="00BA0C06">
      <w:pPr>
        <w:jc w:val="both"/>
        <w:rPr>
          <w:rFonts w:ascii="Arial" w:hAnsi="Arial" w:cs="Arial"/>
          <w:b/>
          <w:bCs/>
          <w:color w:val="000000"/>
          <w:sz w:val="20"/>
          <w:szCs w:val="20"/>
        </w:rPr>
      </w:pPr>
    </w:p>
    <w:p w:rsidR="00BA0C06" w:rsidRDefault="00BA0C06" w:rsidP="00BA0C06">
      <w:pPr>
        <w:jc w:val="both"/>
        <w:rPr>
          <w:rFonts w:ascii="Arial" w:hAnsi="Arial" w:cs="Arial"/>
          <w:b/>
          <w:bCs/>
          <w:color w:val="000000"/>
          <w:sz w:val="20"/>
          <w:szCs w:val="20"/>
        </w:rPr>
      </w:pPr>
    </w:p>
    <w:p w:rsidR="00BA0C06" w:rsidRDefault="00BA0C06" w:rsidP="00BA0C06">
      <w:pPr>
        <w:jc w:val="both"/>
        <w:rPr>
          <w:rFonts w:ascii="Arial" w:hAnsi="Arial" w:cs="Arial"/>
          <w:b/>
          <w:bCs/>
          <w:color w:val="000000"/>
          <w:sz w:val="20"/>
          <w:szCs w:val="20"/>
        </w:rPr>
      </w:pPr>
    </w:p>
    <w:p w:rsidR="00BA0C06" w:rsidRDefault="00BA0C06" w:rsidP="00BA0C06">
      <w:pPr>
        <w:rPr>
          <w:rFonts w:ascii="Arial" w:hAnsi="Arial" w:cs="Arial"/>
          <w:sz w:val="20"/>
          <w:szCs w:val="20"/>
        </w:rPr>
      </w:pPr>
      <w:r>
        <w:rPr>
          <w:rFonts w:ascii="Arial" w:hAnsi="Arial" w:cs="Arial"/>
          <w:b/>
          <w:bCs/>
          <w:color w:val="000000"/>
          <w:sz w:val="20"/>
          <w:szCs w:val="20"/>
        </w:rPr>
        <w:lastRenderedPageBreak/>
        <w:t>Master Circular - Credit facilities to Scheduled Castes (SCs) &amp; Scheduled Tribes (STs)</w:t>
      </w:r>
    </w:p>
    <w:p w:rsidR="00BA0C06" w:rsidRDefault="00BA0C06" w:rsidP="00BA0C06">
      <w:pPr>
        <w:pStyle w:val="NormalWeb"/>
        <w:rPr>
          <w:rFonts w:ascii="Arial" w:hAnsi="Arial" w:cs="Arial"/>
          <w:color w:val="000000"/>
          <w:sz w:val="20"/>
          <w:szCs w:val="20"/>
        </w:rPr>
      </w:pPr>
      <w:r>
        <w:rPr>
          <w:rFonts w:ascii="Arial" w:hAnsi="Arial" w:cs="Arial"/>
          <w:color w:val="000000"/>
          <w:sz w:val="20"/>
          <w:szCs w:val="20"/>
        </w:rPr>
        <w:t>RBI/2022-2023/97</w:t>
      </w:r>
      <w:r>
        <w:rPr>
          <w:rFonts w:ascii="Arial" w:hAnsi="Arial" w:cs="Arial"/>
          <w:color w:val="000000"/>
          <w:sz w:val="20"/>
          <w:szCs w:val="20"/>
        </w:rPr>
        <w:br/>
        <w:t>FIDD.CO.GSSD.BC.No.10/09.09.001/2022-23</w:t>
      </w:r>
    </w:p>
    <w:p w:rsidR="00BA0C06" w:rsidRDefault="00BA0C06" w:rsidP="00BA0C06">
      <w:pPr>
        <w:pStyle w:val="NormalWeb"/>
        <w:jc w:val="right"/>
        <w:rPr>
          <w:rFonts w:ascii="Arial" w:hAnsi="Arial" w:cs="Arial"/>
          <w:color w:val="000000"/>
          <w:sz w:val="20"/>
          <w:szCs w:val="20"/>
        </w:rPr>
      </w:pPr>
      <w:r>
        <w:rPr>
          <w:rFonts w:ascii="Arial" w:hAnsi="Arial" w:cs="Arial"/>
          <w:color w:val="000000"/>
          <w:sz w:val="20"/>
          <w:szCs w:val="20"/>
        </w:rPr>
        <w:t>August 1, 2022</w:t>
      </w:r>
    </w:p>
    <w:p w:rsidR="00BA0C06" w:rsidRDefault="00BA0C06" w:rsidP="00BA0C06">
      <w:pPr>
        <w:pStyle w:val="NormalWeb"/>
        <w:rPr>
          <w:rFonts w:ascii="Arial" w:hAnsi="Arial" w:cs="Arial"/>
          <w:color w:val="000000"/>
          <w:sz w:val="20"/>
          <w:szCs w:val="20"/>
        </w:rPr>
      </w:pPr>
      <w:r>
        <w:rPr>
          <w:rFonts w:ascii="Arial" w:hAnsi="Arial" w:cs="Arial"/>
          <w:color w:val="000000"/>
          <w:sz w:val="20"/>
          <w:szCs w:val="20"/>
        </w:rPr>
        <w:t>The Chairman/ Managing Director / Chief Executive Officer</w:t>
      </w:r>
      <w:r>
        <w:rPr>
          <w:rFonts w:ascii="Arial" w:hAnsi="Arial" w:cs="Arial"/>
          <w:color w:val="000000"/>
          <w:sz w:val="20"/>
          <w:szCs w:val="20"/>
        </w:rPr>
        <w:br/>
        <w:t>All Scheduled Commercial Banks (including Small Finance Banks)</w:t>
      </w:r>
    </w:p>
    <w:p w:rsidR="00BA0C06" w:rsidRDefault="00BA0C06" w:rsidP="00BA0C06">
      <w:pPr>
        <w:pStyle w:val="NormalWeb"/>
        <w:rPr>
          <w:rFonts w:ascii="Arial" w:hAnsi="Arial" w:cs="Arial"/>
          <w:color w:val="000000"/>
          <w:sz w:val="20"/>
          <w:szCs w:val="20"/>
        </w:rPr>
      </w:pPr>
      <w:r>
        <w:rPr>
          <w:rFonts w:ascii="Arial" w:hAnsi="Arial" w:cs="Arial"/>
          <w:color w:val="000000"/>
          <w:sz w:val="20"/>
          <w:szCs w:val="20"/>
        </w:rPr>
        <w:t>Madam/ Dear Sir,</w:t>
      </w:r>
    </w:p>
    <w:p w:rsidR="00BA0C06" w:rsidRDefault="00BA0C06" w:rsidP="00BA0C06">
      <w:pPr>
        <w:pStyle w:val="head"/>
        <w:rPr>
          <w:rFonts w:ascii="Arial" w:hAnsi="Arial" w:cs="Arial"/>
          <w:b/>
          <w:bCs/>
          <w:color w:val="000000"/>
          <w:sz w:val="20"/>
          <w:szCs w:val="20"/>
        </w:rPr>
      </w:pPr>
      <w:r>
        <w:rPr>
          <w:rFonts w:ascii="Arial" w:hAnsi="Arial" w:cs="Arial"/>
          <w:b/>
          <w:bCs/>
          <w:color w:val="000000"/>
          <w:sz w:val="20"/>
          <w:szCs w:val="20"/>
        </w:rPr>
        <w:t>Master Circular - Credit facilities to Scheduled Castes (SCs) &amp; Scheduled Tribes (STs)</w:t>
      </w:r>
    </w:p>
    <w:p w:rsidR="000B7E87" w:rsidRDefault="000B7E87" w:rsidP="000B7E87">
      <w:pPr>
        <w:pStyle w:val="NormalWeb"/>
        <w:rPr>
          <w:rFonts w:ascii="Arial" w:hAnsi="Arial" w:cs="Arial"/>
          <w:color w:val="000000"/>
          <w:sz w:val="20"/>
          <w:szCs w:val="20"/>
        </w:rPr>
      </w:pPr>
      <w:r>
        <w:rPr>
          <w:rFonts w:ascii="Arial" w:hAnsi="Arial" w:cs="Arial"/>
          <w:color w:val="000000"/>
          <w:sz w:val="20"/>
          <w:szCs w:val="20"/>
        </w:rPr>
        <w:t>The Reserve Bank of India has, from time to time, issued a number of guidelines/instructions to banks on credit facilities to Scheduled Castes (SCs) &amp; Scheduled Tribes (STs). The enclosed </w:t>
      </w:r>
      <w:hyperlink r:id="rId40" w:anchor="MC1" w:history="1">
        <w:r>
          <w:rPr>
            <w:rStyle w:val="Hyperlink"/>
            <w:rFonts w:ascii="Arial" w:hAnsi="Arial" w:cs="Arial"/>
            <w:sz w:val="20"/>
            <w:szCs w:val="20"/>
          </w:rPr>
          <w:t>Master Circular</w:t>
        </w:r>
      </w:hyperlink>
      <w:r>
        <w:rPr>
          <w:rFonts w:ascii="Arial" w:hAnsi="Arial" w:cs="Arial"/>
          <w:color w:val="000000"/>
          <w:sz w:val="20"/>
          <w:szCs w:val="20"/>
        </w:rPr>
        <w:t> consolidates the circulars issued by Reserve Bank on the subject till date, as listed in the below points.</w:t>
      </w:r>
    </w:p>
    <w:p w:rsidR="000B7E87" w:rsidRPr="00556D17" w:rsidRDefault="000B7E87" w:rsidP="000B7E87">
      <w:pPr>
        <w:pStyle w:val="NormalWeb"/>
        <w:rPr>
          <w:rFonts w:ascii="Arial" w:hAnsi="Arial" w:cs="Arial"/>
          <w:color w:val="000000"/>
          <w:sz w:val="20"/>
          <w:szCs w:val="20"/>
        </w:rPr>
      </w:pPr>
      <w:r w:rsidRPr="00556D17">
        <w:rPr>
          <w:rFonts w:ascii="Arial" w:hAnsi="Arial" w:cs="Arial"/>
          <w:bCs/>
          <w:color w:val="000000"/>
          <w:sz w:val="20"/>
          <w:szCs w:val="20"/>
        </w:rPr>
        <w:t>1. Planning Process</w:t>
      </w:r>
    </w:p>
    <w:p w:rsidR="000B7E87" w:rsidRPr="00556D17" w:rsidRDefault="000B7E87" w:rsidP="000B7E87">
      <w:pPr>
        <w:pStyle w:val="NormalWeb"/>
        <w:rPr>
          <w:rFonts w:ascii="Arial" w:hAnsi="Arial" w:cs="Arial"/>
          <w:bCs/>
          <w:color w:val="000000"/>
          <w:sz w:val="20"/>
          <w:szCs w:val="20"/>
        </w:rPr>
      </w:pPr>
      <w:r w:rsidRPr="00556D17">
        <w:rPr>
          <w:rFonts w:ascii="Arial" w:hAnsi="Arial" w:cs="Arial"/>
          <w:bCs/>
          <w:color w:val="000000"/>
          <w:sz w:val="20"/>
          <w:szCs w:val="20"/>
        </w:rPr>
        <w:t>2. Role of Banks</w:t>
      </w:r>
    </w:p>
    <w:p w:rsidR="000B7E87" w:rsidRPr="00556D17" w:rsidRDefault="000B7E87" w:rsidP="000B7E87">
      <w:pPr>
        <w:pStyle w:val="NormalWeb"/>
        <w:rPr>
          <w:rFonts w:ascii="Arial" w:hAnsi="Arial" w:cs="Arial"/>
          <w:bCs/>
          <w:color w:val="000000"/>
          <w:sz w:val="20"/>
          <w:szCs w:val="20"/>
        </w:rPr>
      </w:pPr>
      <w:r w:rsidRPr="00556D17">
        <w:rPr>
          <w:rFonts w:ascii="Arial" w:hAnsi="Arial" w:cs="Arial"/>
          <w:bCs/>
          <w:color w:val="000000"/>
          <w:sz w:val="20"/>
          <w:szCs w:val="20"/>
        </w:rPr>
        <w:t>3. Role of SC/ST Development Corporations</w:t>
      </w:r>
    </w:p>
    <w:p w:rsidR="000B7E87" w:rsidRPr="00556D17" w:rsidRDefault="000B7E87" w:rsidP="000B7E87">
      <w:pPr>
        <w:pStyle w:val="NormalWeb"/>
        <w:rPr>
          <w:rFonts w:ascii="Arial" w:hAnsi="Arial" w:cs="Arial"/>
          <w:bCs/>
          <w:color w:val="000000"/>
          <w:sz w:val="20"/>
          <w:szCs w:val="20"/>
        </w:rPr>
      </w:pPr>
      <w:r w:rsidRPr="00556D17">
        <w:rPr>
          <w:rFonts w:ascii="Arial" w:hAnsi="Arial" w:cs="Arial"/>
          <w:bCs/>
          <w:color w:val="000000"/>
          <w:sz w:val="20"/>
          <w:szCs w:val="20"/>
        </w:rPr>
        <w:t>4. Reservations for SC/ST beneficiaries under major Centrally Sponsored Schemes.</w:t>
      </w:r>
    </w:p>
    <w:p w:rsidR="000B7E87" w:rsidRPr="00556D17" w:rsidRDefault="000B7E87" w:rsidP="000B7E87">
      <w:pPr>
        <w:pStyle w:val="NormalWeb"/>
        <w:rPr>
          <w:rFonts w:ascii="Arial" w:hAnsi="Arial" w:cs="Arial"/>
          <w:bCs/>
          <w:color w:val="000000"/>
          <w:sz w:val="20"/>
          <w:szCs w:val="20"/>
        </w:rPr>
      </w:pPr>
      <w:r w:rsidRPr="00556D17">
        <w:rPr>
          <w:rFonts w:ascii="Arial" w:hAnsi="Arial" w:cs="Arial"/>
          <w:bCs/>
          <w:color w:val="000000"/>
          <w:sz w:val="20"/>
          <w:szCs w:val="20"/>
        </w:rPr>
        <w:t>5. Credit Enhancement Guarantee Scheme for Scheduled Castes (CEGSSC)</w:t>
      </w:r>
    </w:p>
    <w:p w:rsidR="000B7E87" w:rsidRPr="00556D17" w:rsidRDefault="000B7E87" w:rsidP="000B7E87">
      <w:pPr>
        <w:pStyle w:val="NormalWeb"/>
        <w:rPr>
          <w:rFonts w:ascii="Arial" w:hAnsi="Arial" w:cs="Arial"/>
          <w:bCs/>
          <w:color w:val="000000"/>
          <w:sz w:val="20"/>
          <w:szCs w:val="20"/>
        </w:rPr>
      </w:pPr>
      <w:r w:rsidRPr="00556D17">
        <w:rPr>
          <w:rFonts w:ascii="Arial" w:hAnsi="Arial" w:cs="Arial"/>
          <w:bCs/>
          <w:color w:val="000000"/>
          <w:sz w:val="20"/>
          <w:szCs w:val="20"/>
        </w:rPr>
        <w:t>6. Monitoring and Review</w:t>
      </w:r>
    </w:p>
    <w:p w:rsidR="000B7E87" w:rsidRPr="00556D17" w:rsidRDefault="000B7E87" w:rsidP="000B7E87">
      <w:pPr>
        <w:pStyle w:val="NormalWeb"/>
        <w:rPr>
          <w:rFonts w:ascii="Arial" w:hAnsi="Arial" w:cs="Arial"/>
          <w:color w:val="000000"/>
          <w:sz w:val="20"/>
          <w:szCs w:val="20"/>
        </w:rPr>
      </w:pPr>
      <w:r w:rsidRPr="00556D17">
        <w:rPr>
          <w:rFonts w:ascii="Arial" w:hAnsi="Arial" w:cs="Arial"/>
          <w:bCs/>
          <w:color w:val="000000"/>
          <w:sz w:val="20"/>
          <w:szCs w:val="20"/>
        </w:rPr>
        <w:t>7. Reporting Requirements</w:t>
      </w:r>
    </w:p>
    <w:p w:rsidR="000B7E87" w:rsidRDefault="000B7E87" w:rsidP="000B7E87">
      <w:pPr>
        <w:pStyle w:val="NormalWeb"/>
        <w:rPr>
          <w:rFonts w:ascii="Arial" w:hAnsi="Arial" w:cs="Arial"/>
          <w:color w:val="000000"/>
          <w:sz w:val="20"/>
          <w:szCs w:val="20"/>
        </w:rPr>
      </w:pPr>
      <w:r>
        <w:rPr>
          <w:rFonts w:ascii="Arial" w:hAnsi="Arial" w:cs="Arial"/>
          <w:color w:val="000000"/>
          <w:sz w:val="20"/>
          <w:szCs w:val="20"/>
        </w:rPr>
        <w:t>Yours faithfully,</w:t>
      </w:r>
    </w:p>
    <w:p w:rsidR="000B7E87" w:rsidRDefault="000B7E87" w:rsidP="000B7E87">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Nisha</w:t>
      </w:r>
      <w:proofErr w:type="spellEnd"/>
      <w:r>
        <w:rPr>
          <w:rFonts w:ascii="Arial" w:hAnsi="Arial" w:cs="Arial"/>
          <w:color w:val="000000"/>
          <w:sz w:val="20"/>
          <w:szCs w:val="20"/>
        </w:rPr>
        <w:t xml:space="preserve"> </w:t>
      </w:r>
      <w:proofErr w:type="spellStart"/>
      <w:r>
        <w:rPr>
          <w:rFonts w:ascii="Arial" w:hAnsi="Arial" w:cs="Arial"/>
          <w:color w:val="000000"/>
          <w:sz w:val="20"/>
          <w:szCs w:val="20"/>
        </w:rPr>
        <w:t>Nambiar</w:t>
      </w:r>
      <w:proofErr w:type="spellEnd"/>
      <w:r>
        <w:rPr>
          <w:rFonts w:ascii="Arial" w:hAnsi="Arial" w:cs="Arial"/>
          <w:color w:val="000000"/>
          <w:sz w:val="20"/>
          <w:szCs w:val="20"/>
        </w:rPr>
        <w:t>)</w:t>
      </w:r>
      <w:r>
        <w:rPr>
          <w:rFonts w:ascii="Arial" w:hAnsi="Arial" w:cs="Arial"/>
          <w:color w:val="000000"/>
          <w:sz w:val="20"/>
          <w:szCs w:val="20"/>
        </w:rPr>
        <w:br/>
        <w:t>Chief General Manager</w:t>
      </w:r>
    </w:p>
    <w:p w:rsidR="000B7E87" w:rsidRDefault="000B7E87" w:rsidP="000B7E87">
      <w:pPr>
        <w:rPr>
          <w:rFonts w:ascii="Arial" w:hAnsi="Arial" w:cs="Arial"/>
          <w:sz w:val="20"/>
          <w:szCs w:val="20"/>
        </w:rPr>
      </w:pPr>
    </w:p>
    <w:p w:rsidR="000B7E87" w:rsidRDefault="000B7E87" w:rsidP="000B7E87">
      <w:pPr>
        <w:rPr>
          <w:rFonts w:ascii="Arial" w:hAnsi="Arial" w:cs="Arial"/>
          <w:sz w:val="20"/>
          <w:szCs w:val="20"/>
        </w:rPr>
      </w:pPr>
    </w:p>
    <w:p w:rsidR="000B7E87" w:rsidRDefault="000B7E87" w:rsidP="000B7E87">
      <w:pPr>
        <w:rPr>
          <w:rFonts w:ascii="Arial" w:hAnsi="Arial" w:cs="Arial"/>
          <w:sz w:val="20"/>
          <w:szCs w:val="20"/>
        </w:rPr>
      </w:pPr>
    </w:p>
    <w:p w:rsidR="000B7E87" w:rsidRDefault="000B7E87" w:rsidP="000B7E87">
      <w:r>
        <w:t>More details can be referred to in the below link.</w:t>
      </w:r>
    </w:p>
    <w:p w:rsidR="00BA0C06" w:rsidRDefault="000B7E87" w:rsidP="000B7E87">
      <w:pPr>
        <w:rPr>
          <w:rFonts w:ascii="Arial" w:hAnsi="Arial" w:cs="Arial"/>
          <w:bCs/>
          <w:color w:val="000000"/>
          <w:sz w:val="20"/>
          <w:szCs w:val="20"/>
        </w:rPr>
      </w:pPr>
      <w:r>
        <w:rPr>
          <w:rFonts w:ascii="Arial" w:hAnsi="Arial" w:cs="Arial"/>
          <w:bCs/>
          <w:color w:val="000000"/>
          <w:sz w:val="20"/>
          <w:szCs w:val="20"/>
        </w:rPr>
        <w:t xml:space="preserve">Reference Link: </w:t>
      </w:r>
      <w:hyperlink r:id="rId41" w:history="1">
        <w:r w:rsidRPr="006865D6">
          <w:rPr>
            <w:rStyle w:val="Hyperlink"/>
            <w:rFonts w:ascii="Arial" w:hAnsi="Arial" w:cs="Arial"/>
            <w:bCs/>
            <w:sz w:val="20"/>
            <w:szCs w:val="20"/>
          </w:rPr>
          <w:t>https://www.rbi.org.in/scripts/NotificationUser.aspx?Id=12365&amp;Mode=0</w:t>
        </w:r>
      </w:hyperlink>
    </w:p>
    <w:p w:rsidR="00BA0C06" w:rsidRDefault="00BA0C06" w:rsidP="00BA0C06">
      <w:pPr>
        <w:jc w:val="both"/>
        <w:rPr>
          <w:rFonts w:ascii="Arial" w:hAnsi="Arial" w:cs="Arial"/>
          <w:b/>
          <w:bCs/>
          <w:color w:val="000000"/>
          <w:sz w:val="20"/>
          <w:szCs w:val="20"/>
        </w:rPr>
      </w:pPr>
    </w:p>
    <w:p w:rsidR="00BA0C06" w:rsidRDefault="00BA0C06" w:rsidP="00BA0C06">
      <w:pPr>
        <w:jc w:val="both"/>
        <w:rPr>
          <w:rFonts w:ascii="Arial" w:hAnsi="Arial" w:cs="Arial"/>
          <w:b/>
          <w:bCs/>
          <w:color w:val="000000"/>
          <w:sz w:val="20"/>
          <w:szCs w:val="20"/>
        </w:rPr>
      </w:pPr>
    </w:p>
    <w:p w:rsidR="00BA0C06" w:rsidRDefault="00BA0C06" w:rsidP="00BA0C06">
      <w:pPr>
        <w:jc w:val="both"/>
        <w:rPr>
          <w:rFonts w:ascii="Arial" w:hAnsi="Arial" w:cs="Arial"/>
          <w:b/>
          <w:bCs/>
          <w:color w:val="000000"/>
          <w:sz w:val="20"/>
          <w:szCs w:val="20"/>
        </w:rPr>
      </w:pPr>
    </w:p>
    <w:p w:rsidR="00BA0C06" w:rsidRDefault="00BA0C06" w:rsidP="00BA0C06">
      <w:pPr>
        <w:jc w:val="both"/>
        <w:rPr>
          <w:rFonts w:ascii="Arial" w:hAnsi="Arial" w:cs="Arial"/>
          <w:b/>
          <w:bCs/>
          <w:color w:val="000000"/>
          <w:sz w:val="20"/>
          <w:szCs w:val="20"/>
        </w:rPr>
      </w:pPr>
    </w:p>
    <w:p w:rsidR="00BA0C06" w:rsidRDefault="00BA0C06" w:rsidP="00BA0C06">
      <w:pPr>
        <w:jc w:val="both"/>
        <w:rPr>
          <w:rFonts w:ascii="Arial" w:hAnsi="Arial" w:cs="Arial"/>
          <w:b/>
          <w:bCs/>
          <w:color w:val="000000"/>
          <w:sz w:val="20"/>
          <w:szCs w:val="20"/>
        </w:rPr>
      </w:pPr>
    </w:p>
    <w:p w:rsidR="00BA0C06" w:rsidRDefault="00BA0C06" w:rsidP="00BA0C06">
      <w:pPr>
        <w:jc w:val="both"/>
        <w:rPr>
          <w:rFonts w:ascii="Arial" w:hAnsi="Arial" w:cs="Arial"/>
          <w:b/>
          <w:bCs/>
          <w:color w:val="000000"/>
          <w:sz w:val="20"/>
          <w:szCs w:val="20"/>
        </w:rPr>
      </w:pPr>
    </w:p>
    <w:p w:rsidR="00BA0C06" w:rsidRDefault="00BA0C06" w:rsidP="00BA0C06">
      <w:pPr>
        <w:jc w:val="both"/>
        <w:rPr>
          <w:rFonts w:ascii="Arial" w:hAnsi="Arial" w:cs="Arial"/>
          <w:b/>
          <w:bCs/>
          <w:color w:val="000000"/>
          <w:sz w:val="20"/>
          <w:szCs w:val="20"/>
        </w:rPr>
      </w:pPr>
    </w:p>
    <w:p w:rsidR="00BA0C06" w:rsidRPr="00583041" w:rsidRDefault="00BA0C06" w:rsidP="00BA0C06">
      <w:pPr>
        <w:spacing w:line="240" w:lineRule="auto"/>
        <w:rPr>
          <w:rFonts w:ascii="Arial" w:hAnsi="Arial" w:cs="Arial"/>
          <w:sz w:val="20"/>
          <w:szCs w:val="20"/>
        </w:rPr>
      </w:pPr>
      <w:r w:rsidRPr="00583041">
        <w:rPr>
          <w:rFonts w:ascii="Arial" w:hAnsi="Arial" w:cs="Arial"/>
          <w:b/>
          <w:bCs/>
          <w:sz w:val="20"/>
          <w:szCs w:val="20"/>
        </w:rPr>
        <w:t>External Commercial Borrowings (ECB) Policy – Liberalisation Measures</w:t>
      </w:r>
    </w:p>
    <w:tbl>
      <w:tblPr>
        <w:tblW w:w="5000" w:type="pct"/>
        <w:jc w:val="center"/>
        <w:tblCellMar>
          <w:top w:w="15" w:type="dxa"/>
          <w:left w:w="15" w:type="dxa"/>
          <w:bottom w:w="15" w:type="dxa"/>
          <w:right w:w="15" w:type="dxa"/>
        </w:tblCellMar>
        <w:tblLook w:val="04A0" w:firstRow="1" w:lastRow="0" w:firstColumn="1" w:lastColumn="0" w:noHBand="0" w:noVBand="1"/>
      </w:tblPr>
      <w:tblGrid>
        <w:gridCol w:w="9026"/>
      </w:tblGrid>
      <w:tr w:rsidR="00BA0C06" w:rsidRPr="00583041" w:rsidTr="00BA0C06">
        <w:trPr>
          <w:jc w:val="center"/>
        </w:trPr>
        <w:tc>
          <w:tcPr>
            <w:tcW w:w="0" w:type="auto"/>
            <w:tcBorders>
              <w:top w:val="nil"/>
              <w:left w:val="nil"/>
              <w:bottom w:val="nil"/>
              <w:right w:val="nil"/>
            </w:tcBorders>
            <w:tcMar>
              <w:top w:w="15" w:type="dxa"/>
              <w:left w:w="45" w:type="dxa"/>
              <w:bottom w:w="15" w:type="dxa"/>
              <w:right w:w="45" w:type="dxa"/>
            </w:tcMar>
            <w:vAlign w:val="center"/>
            <w:hideMark/>
          </w:tcPr>
          <w:p w:rsidR="00BA0C06" w:rsidRPr="00583041" w:rsidRDefault="00BA0C06" w:rsidP="00BA0C06">
            <w:pPr>
              <w:pStyle w:val="NormalWeb"/>
              <w:spacing w:before="0" w:beforeAutospacing="0"/>
              <w:rPr>
                <w:rFonts w:ascii="Arial" w:hAnsi="Arial" w:cs="Arial"/>
                <w:sz w:val="20"/>
                <w:szCs w:val="20"/>
              </w:rPr>
            </w:pPr>
            <w:r w:rsidRPr="00583041">
              <w:rPr>
                <w:rFonts w:ascii="Arial" w:hAnsi="Arial" w:cs="Arial"/>
                <w:sz w:val="20"/>
                <w:szCs w:val="20"/>
              </w:rPr>
              <w:t>RBI/2022-23/98</w:t>
            </w:r>
            <w:r w:rsidRPr="00583041">
              <w:rPr>
                <w:rFonts w:ascii="Arial" w:hAnsi="Arial" w:cs="Arial"/>
                <w:sz w:val="20"/>
                <w:szCs w:val="20"/>
              </w:rPr>
              <w:br/>
              <w:t>A.P. (DIR Series) Circular No. 11</w:t>
            </w:r>
          </w:p>
          <w:p w:rsidR="00BA0C06" w:rsidRPr="00583041" w:rsidRDefault="00BA0C06" w:rsidP="00BA0C06">
            <w:pPr>
              <w:pStyle w:val="NormalWeb"/>
              <w:spacing w:before="0" w:beforeAutospacing="0"/>
              <w:jc w:val="right"/>
              <w:rPr>
                <w:rFonts w:ascii="Arial" w:hAnsi="Arial" w:cs="Arial"/>
                <w:sz w:val="20"/>
                <w:szCs w:val="20"/>
              </w:rPr>
            </w:pPr>
            <w:r w:rsidRPr="00583041">
              <w:rPr>
                <w:rFonts w:ascii="Arial" w:hAnsi="Arial" w:cs="Arial"/>
                <w:sz w:val="20"/>
                <w:szCs w:val="20"/>
              </w:rPr>
              <w:t>August 1, 2022</w:t>
            </w:r>
          </w:p>
          <w:p w:rsidR="00BA0C06" w:rsidRPr="00583041" w:rsidRDefault="00BA0C06" w:rsidP="00BA0C06">
            <w:pPr>
              <w:pStyle w:val="NormalWeb"/>
              <w:spacing w:before="0" w:beforeAutospacing="0" w:after="0" w:afterAutospacing="0"/>
              <w:rPr>
                <w:rFonts w:ascii="Arial" w:hAnsi="Arial" w:cs="Arial"/>
                <w:sz w:val="20"/>
                <w:szCs w:val="20"/>
              </w:rPr>
            </w:pPr>
            <w:r w:rsidRPr="00583041">
              <w:rPr>
                <w:rFonts w:ascii="Arial" w:hAnsi="Arial" w:cs="Arial"/>
                <w:sz w:val="20"/>
                <w:szCs w:val="20"/>
              </w:rPr>
              <w:t>To</w:t>
            </w:r>
          </w:p>
          <w:p w:rsidR="00BA0C06" w:rsidRPr="00583041" w:rsidRDefault="00BA0C06" w:rsidP="00BA0C06">
            <w:pPr>
              <w:pStyle w:val="NormalWeb"/>
              <w:spacing w:before="0" w:beforeAutospacing="0" w:after="0" w:afterAutospacing="0"/>
              <w:rPr>
                <w:rFonts w:ascii="Arial" w:hAnsi="Arial" w:cs="Arial"/>
                <w:sz w:val="20"/>
                <w:szCs w:val="20"/>
              </w:rPr>
            </w:pPr>
            <w:r w:rsidRPr="00583041">
              <w:rPr>
                <w:rFonts w:ascii="Arial" w:hAnsi="Arial" w:cs="Arial"/>
                <w:sz w:val="20"/>
                <w:szCs w:val="20"/>
              </w:rPr>
              <w:t>All Category-I Authorised Dealer Banks</w:t>
            </w:r>
          </w:p>
          <w:p w:rsidR="00BA0C06" w:rsidRPr="00CE14AF" w:rsidRDefault="00BA0C06" w:rsidP="00BA0C06">
            <w:pPr>
              <w:pStyle w:val="NormalWeb"/>
              <w:spacing w:before="0" w:beforeAutospacing="0" w:after="0" w:afterAutospacing="0"/>
              <w:rPr>
                <w:rFonts w:ascii="Arial" w:hAnsi="Arial" w:cs="Arial"/>
                <w:sz w:val="20"/>
                <w:szCs w:val="20"/>
              </w:rPr>
            </w:pPr>
            <w:r w:rsidRPr="00583041">
              <w:rPr>
                <w:rFonts w:ascii="Arial" w:hAnsi="Arial" w:cs="Arial"/>
                <w:sz w:val="20"/>
                <w:szCs w:val="20"/>
              </w:rPr>
              <w:t>Madam / Sir,</w:t>
            </w:r>
          </w:p>
          <w:p w:rsidR="00BA0C06" w:rsidRPr="00583041" w:rsidRDefault="00BA0C06" w:rsidP="00BA0C06">
            <w:pPr>
              <w:pStyle w:val="head"/>
              <w:jc w:val="center"/>
              <w:rPr>
                <w:rFonts w:ascii="Arial" w:hAnsi="Arial" w:cs="Arial"/>
                <w:b/>
                <w:bCs/>
                <w:sz w:val="20"/>
                <w:szCs w:val="20"/>
              </w:rPr>
            </w:pPr>
            <w:r w:rsidRPr="00583041">
              <w:rPr>
                <w:rFonts w:ascii="Arial" w:hAnsi="Arial" w:cs="Arial"/>
                <w:b/>
                <w:bCs/>
                <w:sz w:val="20"/>
                <w:szCs w:val="20"/>
              </w:rPr>
              <w:t>External Commercial Borrowings (ECB) Policy – Liberalisation Measures</w:t>
            </w:r>
          </w:p>
          <w:p w:rsidR="00BA0C06" w:rsidRPr="00583041" w:rsidRDefault="00BA0C06" w:rsidP="00BA0C06">
            <w:pPr>
              <w:pStyle w:val="NormalWeb"/>
              <w:spacing w:before="0" w:beforeAutospacing="0"/>
              <w:rPr>
                <w:rFonts w:ascii="Arial" w:hAnsi="Arial" w:cs="Arial"/>
                <w:sz w:val="20"/>
                <w:szCs w:val="20"/>
              </w:rPr>
            </w:pPr>
            <w:r w:rsidRPr="00583041">
              <w:rPr>
                <w:rFonts w:ascii="Arial" w:hAnsi="Arial" w:cs="Arial"/>
                <w:sz w:val="20"/>
                <w:szCs w:val="20"/>
              </w:rPr>
              <w:t>Attention is invited to paragraph 2.2 of </w:t>
            </w:r>
            <w:hyperlink r:id="rId42" w:tgtFrame="_blank" w:history="1">
              <w:r w:rsidRPr="00583041">
                <w:rPr>
                  <w:rStyle w:val="Hyperlink"/>
                  <w:rFonts w:ascii="Arial" w:hAnsi="Arial" w:cs="Arial"/>
                  <w:sz w:val="20"/>
                  <w:szCs w:val="20"/>
                </w:rPr>
                <w:t>FED Master Direction No.5 on External Commercial Borrowings, Trade Credits and Structured Obligations, dated March 26, 2019</w:t>
              </w:r>
            </w:hyperlink>
            <w:r w:rsidRPr="00583041">
              <w:rPr>
                <w:rFonts w:ascii="Arial" w:hAnsi="Arial" w:cs="Arial"/>
                <w:sz w:val="20"/>
                <w:szCs w:val="20"/>
              </w:rPr>
              <w:t> (as amended from time to time), in terms of which eligible ECB borrowers are allowed to raise ECB up to USD 750 million or equivalent per financial year under the automatic route, and paragraph 2.1.vi. ibid, wherein the all-in-cost ceiling for ECBs has been specified.</w:t>
            </w:r>
          </w:p>
          <w:p w:rsidR="00BA0C06" w:rsidRPr="00583041" w:rsidRDefault="00BA0C06" w:rsidP="00BA0C06">
            <w:pPr>
              <w:pStyle w:val="NormalWeb"/>
              <w:spacing w:before="0" w:beforeAutospacing="0"/>
              <w:rPr>
                <w:rFonts w:ascii="Arial" w:hAnsi="Arial" w:cs="Arial"/>
                <w:sz w:val="20"/>
                <w:szCs w:val="20"/>
              </w:rPr>
            </w:pPr>
            <w:r w:rsidRPr="00583041">
              <w:rPr>
                <w:rFonts w:ascii="Arial" w:hAnsi="Arial" w:cs="Arial"/>
                <w:sz w:val="20"/>
                <w:szCs w:val="20"/>
              </w:rPr>
              <w:t>2. As announced in paragraph five of the </w:t>
            </w:r>
            <w:hyperlink r:id="rId43" w:tgtFrame="_blank" w:history="1">
              <w:r w:rsidRPr="00583041">
                <w:rPr>
                  <w:rStyle w:val="Hyperlink"/>
                  <w:rFonts w:ascii="Arial" w:hAnsi="Arial" w:cs="Arial"/>
                  <w:sz w:val="20"/>
                  <w:szCs w:val="20"/>
                </w:rPr>
                <w:t>press release on “Liberalisation of Forex Flows” dated July 06, 2022</w:t>
              </w:r>
            </w:hyperlink>
            <w:r w:rsidRPr="00583041">
              <w:rPr>
                <w:rFonts w:ascii="Arial" w:hAnsi="Arial" w:cs="Arial"/>
                <w:sz w:val="20"/>
                <w:szCs w:val="20"/>
              </w:rPr>
              <w:t>, it has been decided, in consultation with the Central Government, to:</w:t>
            </w:r>
          </w:p>
          <w:p w:rsidR="00BA0C06" w:rsidRPr="00583041" w:rsidRDefault="00BA0C06" w:rsidP="00BA0C06">
            <w:pPr>
              <w:pStyle w:val="NormalWeb"/>
              <w:spacing w:before="0" w:beforeAutospacing="0"/>
              <w:rPr>
                <w:rFonts w:ascii="Arial" w:hAnsi="Arial" w:cs="Arial"/>
                <w:sz w:val="20"/>
                <w:szCs w:val="20"/>
              </w:rPr>
            </w:pPr>
            <w:r w:rsidRPr="00583041">
              <w:rPr>
                <w:rFonts w:ascii="Arial" w:hAnsi="Arial" w:cs="Arial"/>
                <w:sz w:val="20"/>
                <w:szCs w:val="20"/>
              </w:rPr>
              <w:t>i) increase the automatic route limit from USD 750 million or equivalent to USD 1.5 billion or equivalent.</w:t>
            </w:r>
          </w:p>
          <w:p w:rsidR="00BA0C06" w:rsidRPr="00583041" w:rsidRDefault="00BA0C06" w:rsidP="00BA0C06">
            <w:pPr>
              <w:pStyle w:val="NormalWeb"/>
              <w:spacing w:before="0" w:beforeAutospacing="0"/>
              <w:rPr>
                <w:rFonts w:ascii="Arial" w:hAnsi="Arial" w:cs="Arial"/>
                <w:sz w:val="20"/>
                <w:szCs w:val="20"/>
              </w:rPr>
            </w:pPr>
            <w:r w:rsidRPr="00583041">
              <w:rPr>
                <w:rFonts w:ascii="Arial" w:hAnsi="Arial" w:cs="Arial"/>
                <w:sz w:val="20"/>
                <w:szCs w:val="20"/>
              </w:rPr>
              <w:t>ii) increase the all-in-cost ceiling for ECBs, by 100 bps. The enhanced all-in-cost ceiling shall be available only to eligible borrowers of investment grade rating from Indian Credit Rating Agencies (CRAs). Other eligible borrowers may raise ECB within the existing all-in-cost ceiling, as hitherto.</w:t>
            </w:r>
          </w:p>
          <w:p w:rsidR="00BA0C06" w:rsidRPr="00583041" w:rsidRDefault="00BA0C06" w:rsidP="00BA0C06">
            <w:pPr>
              <w:pStyle w:val="NormalWeb"/>
              <w:spacing w:before="0" w:beforeAutospacing="0"/>
              <w:rPr>
                <w:rFonts w:ascii="Arial" w:hAnsi="Arial" w:cs="Arial"/>
                <w:sz w:val="20"/>
                <w:szCs w:val="20"/>
              </w:rPr>
            </w:pPr>
            <w:r w:rsidRPr="00583041">
              <w:rPr>
                <w:rFonts w:ascii="Arial" w:hAnsi="Arial" w:cs="Arial"/>
                <w:sz w:val="20"/>
                <w:szCs w:val="20"/>
              </w:rPr>
              <w:t>The above relaxations would be available for ECBs to be raised till December 31, 2022.</w:t>
            </w:r>
          </w:p>
          <w:p w:rsidR="00BA0C06" w:rsidRPr="00583041" w:rsidRDefault="00BA0C06" w:rsidP="00BA0C06">
            <w:pPr>
              <w:pStyle w:val="NormalWeb"/>
              <w:spacing w:before="0" w:beforeAutospacing="0"/>
              <w:rPr>
                <w:rFonts w:ascii="Arial" w:hAnsi="Arial" w:cs="Arial"/>
                <w:sz w:val="20"/>
                <w:szCs w:val="20"/>
              </w:rPr>
            </w:pPr>
            <w:r w:rsidRPr="00583041">
              <w:rPr>
                <w:rFonts w:ascii="Arial" w:hAnsi="Arial" w:cs="Arial"/>
                <w:sz w:val="20"/>
                <w:szCs w:val="20"/>
              </w:rPr>
              <w:t>3. AD Category-I banks may bring the contents of this circular to the notice of their constituents and customers.</w:t>
            </w:r>
          </w:p>
          <w:p w:rsidR="00BA0C06" w:rsidRPr="00583041" w:rsidRDefault="00BA0C06" w:rsidP="00BA0C06">
            <w:pPr>
              <w:pStyle w:val="NormalWeb"/>
              <w:spacing w:before="0" w:beforeAutospacing="0"/>
              <w:rPr>
                <w:rFonts w:ascii="Arial" w:hAnsi="Arial" w:cs="Arial"/>
                <w:sz w:val="20"/>
                <w:szCs w:val="20"/>
              </w:rPr>
            </w:pPr>
            <w:r w:rsidRPr="00583041">
              <w:rPr>
                <w:rFonts w:ascii="Arial" w:hAnsi="Arial" w:cs="Arial"/>
                <w:sz w:val="20"/>
                <w:szCs w:val="20"/>
              </w:rPr>
              <w:t>4. The aforesaid Master Direction No. 5, is being updated to reflect these changes.</w:t>
            </w:r>
          </w:p>
          <w:p w:rsidR="00BA0C06" w:rsidRPr="00583041" w:rsidRDefault="00BA0C06" w:rsidP="00BA0C06">
            <w:pPr>
              <w:pStyle w:val="NormalWeb"/>
              <w:spacing w:before="0" w:beforeAutospacing="0"/>
              <w:rPr>
                <w:rFonts w:ascii="Arial" w:hAnsi="Arial" w:cs="Arial"/>
                <w:sz w:val="20"/>
                <w:szCs w:val="20"/>
              </w:rPr>
            </w:pPr>
            <w:r w:rsidRPr="00583041">
              <w:rPr>
                <w:rFonts w:ascii="Arial" w:hAnsi="Arial" w:cs="Arial"/>
                <w:sz w:val="20"/>
                <w:szCs w:val="20"/>
              </w:rPr>
              <w:t>5. Necessary amendments to the relevant regulations have been made through </w:t>
            </w:r>
            <w:r w:rsidRPr="00583041">
              <w:rPr>
                <w:rFonts w:ascii="Arial" w:hAnsi="Arial" w:cs="Arial"/>
                <w:sz w:val="20"/>
                <w:szCs w:val="20"/>
                <w:u w:val="single"/>
              </w:rPr>
              <w:t>the Foreign Exchange Management (Borrowing and Lending) (Amendment) Regulations, 2022, notified vide </w:t>
            </w:r>
            <w:hyperlink r:id="rId44" w:tgtFrame="_blank" w:history="1">
              <w:r w:rsidRPr="00583041">
                <w:rPr>
                  <w:rStyle w:val="Hyperlink"/>
                  <w:rFonts w:ascii="Arial" w:hAnsi="Arial" w:cs="Arial"/>
                  <w:sz w:val="20"/>
                  <w:szCs w:val="20"/>
                </w:rPr>
                <w:t>notification No. FEMA.3(R)(3)/2022-RB dated July 29, 2022</w:t>
              </w:r>
            </w:hyperlink>
            <w:r w:rsidRPr="00583041">
              <w:rPr>
                <w:rFonts w:ascii="Arial" w:hAnsi="Arial" w:cs="Arial"/>
                <w:sz w:val="20"/>
                <w:szCs w:val="20"/>
              </w:rPr>
              <w:t>.</w:t>
            </w:r>
          </w:p>
          <w:p w:rsidR="00BA0C06" w:rsidRPr="00583041" w:rsidRDefault="00BA0C06" w:rsidP="00BA0C06">
            <w:pPr>
              <w:pStyle w:val="NormalWeb"/>
              <w:spacing w:before="0" w:beforeAutospacing="0"/>
              <w:rPr>
                <w:rFonts w:ascii="Arial" w:hAnsi="Arial" w:cs="Arial"/>
                <w:sz w:val="20"/>
                <w:szCs w:val="20"/>
              </w:rPr>
            </w:pPr>
            <w:r w:rsidRPr="00583041">
              <w:rPr>
                <w:rFonts w:ascii="Arial" w:hAnsi="Arial" w:cs="Arial"/>
                <w:sz w:val="20"/>
                <w:szCs w:val="20"/>
              </w:rPr>
              <w:t>6. The directions contained in this circular have been issued under section 10(4) and 11(2) of the Foreign Exchange Management Act, 1999 (42 of 1999) and are without prejudice to permissions/ approvals, if any, required under any other law.</w:t>
            </w:r>
          </w:p>
          <w:p w:rsidR="00BA0C06" w:rsidRPr="00583041" w:rsidRDefault="00BA0C06" w:rsidP="00BA0C06">
            <w:pPr>
              <w:pStyle w:val="NormalWeb"/>
              <w:spacing w:after="0" w:afterAutospacing="0"/>
              <w:rPr>
                <w:rFonts w:ascii="Arial" w:hAnsi="Arial" w:cs="Arial"/>
                <w:sz w:val="20"/>
                <w:szCs w:val="20"/>
              </w:rPr>
            </w:pPr>
            <w:r w:rsidRPr="00583041">
              <w:rPr>
                <w:rFonts w:ascii="Arial" w:hAnsi="Arial" w:cs="Arial"/>
                <w:sz w:val="20"/>
                <w:szCs w:val="20"/>
              </w:rPr>
              <w:t>Yours faithfully,</w:t>
            </w:r>
          </w:p>
          <w:p w:rsidR="00BA0C06" w:rsidRPr="00583041" w:rsidRDefault="00BA0C06" w:rsidP="00BA0C06">
            <w:pPr>
              <w:pStyle w:val="NormalWeb"/>
              <w:rPr>
                <w:rFonts w:ascii="Arial" w:hAnsi="Arial" w:cs="Arial"/>
                <w:sz w:val="20"/>
                <w:szCs w:val="20"/>
              </w:rPr>
            </w:pPr>
            <w:r w:rsidRPr="00583041">
              <w:rPr>
                <w:rFonts w:ascii="Arial" w:hAnsi="Arial" w:cs="Arial"/>
                <w:sz w:val="20"/>
                <w:szCs w:val="20"/>
              </w:rPr>
              <w:t xml:space="preserve">(Ajay Kumar </w:t>
            </w:r>
            <w:proofErr w:type="spellStart"/>
            <w:r w:rsidRPr="00583041">
              <w:rPr>
                <w:rFonts w:ascii="Arial" w:hAnsi="Arial" w:cs="Arial"/>
                <w:sz w:val="20"/>
                <w:szCs w:val="20"/>
              </w:rPr>
              <w:t>Misra</w:t>
            </w:r>
            <w:proofErr w:type="spellEnd"/>
            <w:r w:rsidRPr="00583041">
              <w:rPr>
                <w:rFonts w:ascii="Arial" w:hAnsi="Arial" w:cs="Arial"/>
                <w:sz w:val="20"/>
                <w:szCs w:val="20"/>
              </w:rPr>
              <w:t>)</w:t>
            </w:r>
            <w:r w:rsidRPr="00583041">
              <w:rPr>
                <w:rFonts w:ascii="Arial" w:hAnsi="Arial" w:cs="Arial"/>
                <w:sz w:val="20"/>
                <w:szCs w:val="20"/>
              </w:rPr>
              <w:br/>
              <w:t>Chief General Manager-in-Charge</w:t>
            </w:r>
          </w:p>
        </w:tc>
      </w:tr>
    </w:tbl>
    <w:p w:rsidR="00BA0C06" w:rsidRDefault="00BA0C06" w:rsidP="00BA0C06"/>
    <w:p w:rsidR="00BA0C06" w:rsidRDefault="00BA0C06" w:rsidP="00BA0C06">
      <w:pPr>
        <w:spacing w:after="0"/>
      </w:pPr>
      <w:r>
        <w:t>More details can be referred to in the below link.</w:t>
      </w:r>
    </w:p>
    <w:p w:rsidR="00BA0C06" w:rsidRDefault="00BA0C06" w:rsidP="00BA0C06">
      <w:pPr>
        <w:rPr>
          <w:rFonts w:ascii="Arial" w:hAnsi="Arial" w:cs="Arial"/>
          <w:sz w:val="20"/>
          <w:szCs w:val="20"/>
        </w:rPr>
      </w:pPr>
      <w:r>
        <w:rPr>
          <w:rFonts w:ascii="Arial" w:hAnsi="Arial" w:cs="Arial"/>
          <w:sz w:val="20"/>
          <w:szCs w:val="20"/>
        </w:rPr>
        <w:t xml:space="preserve">Reference Link: </w:t>
      </w:r>
      <w:hyperlink r:id="rId45" w:history="1">
        <w:r w:rsidRPr="00200311">
          <w:rPr>
            <w:rStyle w:val="Hyperlink"/>
            <w:rFonts w:ascii="Arial" w:hAnsi="Arial" w:cs="Arial"/>
            <w:sz w:val="20"/>
            <w:szCs w:val="20"/>
          </w:rPr>
          <w:t>https://www.rbi.org.in/Scripts/NotificationUser.aspx?Id=12366&amp;Mode=0</w:t>
        </w:r>
      </w:hyperlink>
    </w:p>
    <w:p w:rsidR="00BA0C06" w:rsidRDefault="00BA0C06" w:rsidP="00BA0C06">
      <w:pPr>
        <w:jc w:val="both"/>
        <w:rPr>
          <w:rFonts w:ascii="Arial" w:hAnsi="Arial" w:cs="Arial"/>
          <w:b/>
          <w:bCs/>
          <w:color w:val="000000"/>
          <w:sz w:val="20"/>
          <w:szCs w:val="20"/>
        </w:rPr>
      </w:pPr>
    </w:p>
    <w:p w:rsidR="00BA0C06" w:rsidRDefault="00BA0C06" w:rsidP="00BA0C06">
      <w:pPr>
        <w:jc w:val="both"/>
        <w:rPr>
          <w:rFonts w:ascii="Arial" w:hAnsi="Arial" w:cs="Arial"/>
          <w:b/>
          <w:bCs/>
          <w:color w:val="000000"/>
          <w:sz w:val="20"/>
          <w:szCs w:val="20"/>
        </w:rPr>
      </w:pPr>
    </w:p>
    <w:p w:rsidR="00BA0C06" w:rsidRDefault="00BA0C06" w:rsidP="00BA0C06">
      <w:pPr>
        <w:jc w:val="both"/>
        <w:rPr>
          <w:rFonts w:ascii="Arial" w:hAnsi="Arial" w:cs="Arial"/>
          <w:b/>
          <w:bCs/>
          <w:color w:val="000000"/>
          <w:sz w:val="20"/>
          <w:szCs w:val="20"/>
        </w:rPr>
      </w:pPr>
    </w:p>
    <w:p w:rsidR="00BA0C06" w:rsidRDefault="00BA0C06" w:rsidP="00BA0C06">
      <w:pPr>
        <w:pStyle w:val="NormalWeb"/>
        <w:rPr>
          <w:rFonts w:ascii="Arial" w:hAnsi="Arial" w:cs="Arial"/>
          <w:color w:val="000000"/>
          <w:sz w:val="20"/>
          <w:szCs w:val="20"/>
        </w:rPr>
      </w:pPr>
      <w:r>
        <w:rPr>
          <w:rFonts w:ascii="Arial" w:hAnsi="Arial" w:cs="Arial"/>
          <w:b/>
          <w:bCs/>
          <w:color w:val="000000"/>
          <w:sz w:val="20"/>
          <w:szCs w:val="20"/>
        </w:rPr>
        <w:t>Master Circular on Credit Facilities to Minority Communities</w:t>
      </w:r>
    </w:p>
    <w:p w:rsidR="00BA0C06" w:rsidRDefault="00BA0C06" w:rsidP="00BA0C06">
      <w:pPr>
        <w:pStyle w:val="NormalWeb"/>
        <w:rPr>
          <w:rFonts w:ascii="Arial" w:hAnsi="Arial" w:cs="Arial"/>
          <w:color w:val="000000"/>
          <w:sz w:val="20"/>
          <w:szCs w:val="20"/>
        </w:rPr>
      </w:pPr>
      <w:r>
        <w:rPr>
          <w:rFonts w:ascii="Arial" w:hAnsi="Arial" w:cs="Arial"/>
          <w:color w:val="000000"/>
          <w:sz w:val="20"/>
          <w:szCs w:val="20"/>
        </w:rPr>
        <w:t>RBI/2022-23/99</w:t>
      </w:r>
      <w:r>
        <w:rPr>
          <w:rFonts w:ascii="Arial" w:hAnsi="Arial" w:cs="Arial"/>
          <w:color w:val="000000"/>
          <w:sz w:val="20"/>
          <w:szCs w:val="20"/>
        </w:rPr>
        <w:br/>
        <w:t>FIDD.GSSD.BC.No.11/09.10.001/2022-23</w:t>
      </w:r>
    </w:p>
    <w:p w:rsidR="00BA0C06" w:rsidRDefault="00BA0C06" w:rsidP="00BA0C06">
      <w:pPr>
        <w:pStyle w:val="NormalWeb"/>
        <w:jc w:val="right"/>
        <w:rPr>
          <w:rFonts w:ascii="Arial" w:hAnsi="Arial" w:cs="Arial"/>
          <w:color w:val="000000"/>
          <w:sz w:val="20"/>
          <w:szCs w:val="20"/>
        </w:rPr>
      </w:pPr>
      <w:r>
        <w:rPr>
          <w:rFonts w:ascii="Arial" w:hAnsi="Arial" w:cs="Arial"/>
          <w:color w:val="000000"/>
          <w:sz w:val="20"/>
          <w:szCs w:val="20"/>
        </w:rPr>
        <w:t>August 2, 2022</w:t>
      </w:r>
    </w:p>
    <w:p w:rsidR="00BA0C06" w:rsidRDefault="00BA0C06" w:rsidP="00BA0C06">
      <w:pPr>
        <w:pStyle w:val="NormalWeb"/>
        <w:rPr>
          <w:rFonts w:ascii="Arial" w:hAnsi="Arial" w:cs="Arial"/>
          <w:color w:val="000000"/>
          <w:sz w:val="20"/>
          <w:szCs w:val="20"/>
        </w:rPr>
      </w:pPr>
      <w:r>
        <w:rPr>
          <w:rFonts w:ascii="Arial" w:hAnsi="Arial" w:cs="Arial"/>
          <w:color w:val="000000"/>
          <w:sz w:val="20"/>
          <w:szCs w:val="20"/>
        </w:rPr>
        <w:t>The Chairman/Managing Director/Chief Executive Officer</w:t>
      </w:r>
      <w:r>
        <w:rPr>
          <w:rFonts w:ascii="Arial" w:hAnsi="Arial" w:cs="Arial"/>
          <w:color w:val="000000"/>
          <w:sz w:val="20"/>
          <w:szCs w:val="20"/>
        </w:rPr>
        <w:br/>
        <w:t>All Scheduled Commercial Banks</w:t>
      </w:r>
      <w:r>
        <w:rPr>
          <w:rFonts w:ascii="Arial" w:hAnsi="Arial" w:cs="Arial"/>
          <w:color w:val="000000"/>
          <w:sz w:val="20"/>
          <w:szCs w:val="20"/>
        </w:rPr>
        <w:br/>
        <w:t>(excluding RRBs and Foreign Banks with less than 20 branches)</w:t>
      </w:r>
    </w:p>
    <w:p w:rsidR="00BA0C06" w:rsidRDefault="00BA0C06" w:rsidP="00BA0C06">
      <w:pPr>
        <w:pStyle w:val="NormalWeb"/>
        <w:rPr>
          <w:rFonts w:ascii="Arial" w:hAnsi="Arial" w:cs="Arial"/>
          <w:color w:val="000000"/>
          <w:sz w:val="20"/>
          <w:szCs w:val="20"/>
        </w:rPr>
      </w:pPr>
      <w:r>
        <w:rPr>
          <w:rFonts w:ascii="Arial" w:hAnsi="Arial" w:cs="Arial"/>
          <w:color w:val="000000"/>
          <w:sz w:val="20"/>
          <w:szCs w:val="20"/>
        </w:rPr>
        <w:t>Madam/ Dear Sir,</w:t>
      </w:r>
    </w:p>
    <w:p w:rsidR="00BA0C06" w:rsidRDefault="00BA0C06" w:rsidP="00BA0C06">
      <w:pPr>
        <w:pStyle w:val="head"/>
        <w:rPr>
          <w:rFonts w:ascii="Arial" w:hAnsi="Arial" w:cs="Arial"/>
          <w:b/>
          <w:bCs/>
          <w:color w:val="000000"/>
          <w:sz w:val="20"/>
          <w:szCs w:val="20"/>
        </w:rPr>
      </w:pPr>
      <w:r>
        <w:rPr>
          <w:rFonts w:ascii="Arial" w:hAnsi="Arial" w:cs="Arial"/>
          <w:b/>
          <w:bCs/>
          <w:color w:val="000000"/>
          <w:sz w:val="20"/>
          <w:szCs w:val="20"/>
        </w:rPr>
        <w:t>Master Circular on Credit Facilities to Minority Communities</w:t>
      </w:r>
    </w:p>
    <w:p w:rsidR="000B7E87" w:rsidRPr="00184108" w:rsidRDefault="000B7E87" w:rsidP="000B7E87">
      <w:pPr>
        <w:pStyle w:val="NoSpacing"/>
      </w:pPr>
      <w:r>
        <w:t>The Reserve Bank of India has periodically issued guidelines/instructions/directives to banks with regard to providing credit facilities to Minority Communities. The </w:t>
      </w:r>
      <w:hyperlink r:id="rId46" w:anchor="MC" w:history="1">
        <w:r>
          <w:rPr>
            <w:rStyle w:val="Hyperlink"/>
            <w:rFonts w:ascii="Arial" w:hAnsi="Arial" w:cs="Arial"/>
            <w:sz w:val="20"/>
            <w:szCs w:val="20"/>
          </w:rPr>
          <w:t>Master Circular</w:t>
        </w:r>
      </w:hyperlink>
      <w:r>
        <w:t> consolidates the circulars issued by Reserve Bank on the subject till date, on the below points:</w:t>
      </w:r>
    </w:p>
    <w:p w:rsidR="000B7E87" w:rsidRDefault="000B7E87" w:rsidP="000B7E87">
      <w:pPr>
        <w:pStyle w:val="NoSpacing"/>
        <w:rPr>
          <w:bCs/>
        </w:rPr>
      </w:pPr>
    </w:p>
    <w:p w:rsidR="000B7E87" w:rsidRPr="00184108" w:rsidRDefault="000B7E87" w:rsidP="000B7E87">
      <w:pPr>
        <w:pStyle w:val="NoSpacing"/>
      </w:pPr>
      <w:r w:rsidRPr="00184108">
        <w:rPr>
          <w:bCs/>
        </w:rPr>
        <w:t>1. Credit Facilities to Minority Communities</w:t>
      </w:r>
    </w:p>
    <w:p w:rsidR="000B7E87" w:rsidRPr="00184108" w:rsidRDefault="000B7E87" w:rsidP="000B7E87">
      <w:pPr>
        <w:pStyle w:val="NoSpacing"/>
      </w:pPr>
      <w:r w:rsidRPr="00184108">
        <w:rPr>
          <w:bCs/>
        </w:rPr>
        <w:t>2. Definition of Minority Communities</w:t>
      </w:r>
    </w:p>
    <w:p w:rsidR="000B7E87" w:rsidRPr="00184108" w:rsidRDefault="000B7E87" w:rsidP="000B7E87">
      <w:pPr>
        <w:pStyle w:val="NoSpacing"/>
      </w:pPr>
      <w:r w:rsidRPr="00184108">
        <w:rPr>
          <w:bCs/>
        </w:rPr>
        <w:t>3. Creation of Special Cell and designating an exclusive Officer</w:t>
      </w:r>
    </w:p>
    <w:p w:rsidR="000B7E87" w:rsidRPr="00184108" w:rsidRDefault="000B7E87" w:rsidP="000B7E87">
      <w:pPr>
        <w:pStyle w:val="NoSpacing"/>
        <w:rPr>
          <w:bCs/>
        </w:rPr>
      </w:pPr>
      <w:r w:rsidRPr="00184108">
        <w:rPr>
          <w:bCs/>
        </w:rPr>
        <w:t>4. Role of Lead Banks</w:t>
      </w:r>
    </w:p>
    <w:p w:rsidR="000B7E87" w:rsidRPr="00184108" w:rsidRDefault="000B7E87" w:rsidP="000B7E87">
      <w:pPr>
        <w:pStyle w:val="NoSpacing"/>
      </w:pPr>
      <w:r w:rsidRPr="00184108">
        <w:rPr>
          <w:bCs/>
        </w:rPr>
        <w:t>5. Advances under DRI Scheme</w:t>
      </w:r>
    </w:p>
    <w:p w:rsidR="000B7E87" w:rsidRPr="00184108" w:rsidRDefault="000B7E87" w:rsidP="000B7E87">
      <w:pPr>
        <w:pStyle w:val="NoSpacing"/>
      </w:pPr>
      <w:r w:rsidRPr="00184108">
        <w:rPr>
          <w:bCs/>
        </w:rPr>
        <w:t>6. Monitoring</w:t>
      </w:r>
    </w:p>
    <w:p w:rsidR="000B7E87" w:rsidRPr="00184108" w:rsidRDefault="000B7E87" w:rsidP="000B7E87">
      <w:pPr>
        <w:pStyle w:val="NoSpacing"/>
      </w:pPr>
      <w:r w:rsidRPr="00184108">
        <w:rPr>
          <w:bCs/>
        </w:rPr>
        <w:t>7. Training</w:t>
      </w:r>
    </w:p>
    <w:p w:rsidR="000B7E87" w:rsidRPr="00184108" w:rsidRDefault="000B7E87" w:rsidP="000B7E87">
      <w:pPr>
        <w:pStyle w:val="NoSpacing"/>
        <w:rPr>
          <w:bCs/>
        </w:rPr>
      </w:pPr>
      <w:r w:rsidRPr="00184108">
        <w:rPr>
          <w:bCs/>
        </w:rPr>
        <w:t>8 Publicity</w:t>
      </w:r>
    </w:p>
    <w:p w:rsidR="000B7E87" w:rsidRPr="00184108" w:rsidRDefault="000B7E87" w:rsidP="000B7E87">
      <w:pPr>
        <w:pStyle w:val="NoSpacing"/>
      </w:pPr>
      <w:r w:rsidRPr="00184108">
        <w:rPr>
          <w:bCs/>
        </w:rPr>
        <w:t>9. National Minorities Development and Finance Corporation (NMDFC)</w:t>
      </w:r>
    </w:p>
    <w:p w:rsidR="000B7E87" w:rsidRPr="00184108" w:rsidRDefault="000B7E87" w:rsidP="000B7E87">
      <w:pPr>
        <w:pStyle w:val="NoSpacing"/>
      </w:pPr>
      <w:r w:rsidRPr="00184108">
        <w:rPr>
          <w:bCs/>
        </w:rPr>
        <w:t>10. Prime Minister’s New 15 Point Programme for the Welfare of Minorities</w:t>
      </w:r>
    </w:p>
    <w:p w:rsidR="000B7E87" w:rsidRDefault="000B7E87" w:rsidP="000B7E87">
      <w:pPr>
        <w:pStyle w:val="NormalWeb"/>
        <w:rPr>
          <w:rFonts w:ascii="Arial" w:hAnsi="Arial" w:cs="Arial"/>
          <w:color w:val="000000"/>
          <w:sz w:val="20"/>
          <w:szCs w:val="20"/>
        </w:rPr>
      </w:pPr>
    </w:p>
    <w:p w:rsidR="000B7E87" w:rsidRDefault="000B7E87" w:rsidP="000B7E87">
      <w:pPr>
        <w:pStyle w:val="NormalWeb"/>
        <w:rPr>
          <w:rFonts w:ascii="Arial" w:hAnsi="Arial" w:cs="Arial"/>
          <w:color w:val="000000"/>
          <w:sz w:val="20"/>
          <w:szCs w:val="20"/>
        </w:rPr>
      </w:pPr>
      <w:r>
        <w:rPr>
          <w:rFonts w:ascii="Arial" w:hAnsi="Arial" w:cs="Arial"/>
          <w:color w:val="000000"/>
          <w:sz w:val="20"/>
          <w:szCs w:val="20"/>
        </w:rPr>
        <w:t>Yours faithfully,</w:t>
      </w:r>
    </w:p>
    <w:p w:rsidR="000B7E87" w:rsidRDefault="000B7E87" w:rsidP="000B7E87">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Nisha</w:t>
      </w:r>
      <w:proofErr w:type="spellEnd"/>
      <w:r>
        <w:rPr>
          <w:rFonts w:ascii="Arial" w:hAnsi="Arial" w:cs="Arial"/>
          <w:color w:val="000000"/>
          <w:sz w:val="20"/>
          <w:szCs w:val="20"/>
        </w:rPr>
        <w:t xml:space="preserve"> </w:t>
      </w:r>
      <w:proofErr w:type="spellStart"/>
      <w:r>
        <w:rPr>
          <w:rFonts w:ascii="Arial" w:hAnsi="Arial" w:cs="Arial"/>
          <w:color w:val="000000"/>
          <w:sz w:val="20"/>
          <w:szCs w:val="20"/>
        </w:rPr>
        <w:t>Nambiar</w:t>
      </w:r>
      <w:proofErr w:type="spellEnd"/>
      <w:r>
        <w:rPr>
          <w:rFonts w:ascii="Arial" w:hAnsi="Arial" w:cs="Arial"/>
          <w:color w:val="000000"/>
          <w:sz w:val="20"/>
          <w:szCs w:val="20"/>
        </w:rPr>
        <w:t>)</w:t>
      </w:r>
      <w:r>
        <w:rPr>
          <w:rFonts w:ascii="Arial" w:hAnsi="Arial" w:cs="Arial"/>
          <w:color w:val="000000"/>
          <w:sz w:val="20"/>
          <w:szCs w:val="20"/>
        </w:rPr>
        <w:br/>
        <w:t>Chief General Manager</w:t>
      </w:r>
    </w:p>
    <w:p w:rsidR="000B7E87" w:rsidRDefault="000B7E87" w:rsidP="000B7E87">
      <w:pPr>
        <w:rPr>
          <w:rFonts w:ascii="Arial" w:hAnsi="Arial" w:cs="Arial"/>
          <w:sz w:val="20"/>
          <w:szCs w:val="20"/>
        </w:rPr>
      </w:pPr>
    </w:p>
    <w:p w:rsidR="000B7E87" w:rsidRDefault="000B7E87" w:rsidP="000B7E87">
      <w:pPr>
        <w:rPr>
          <w:rFonts w:ascii="Arial" w:hAnsi="Arial" w:cs="Arial"/>
          <w:sz w:val="20"/>
          <w:szCs w:val="20"/>
        </w:rPr>
      </w:pPr>
    </w:p>
    <w:p w:rsidR="000B7E87" w:rsidRDefault="000B7E87" w:rsidP="000B7E87">
      <w:r>
        <w:t>More details can be referred to in the below link.</w:t>
      </w:r>
    </w:p>
    <w:p w:rsidR="000B7E87" w:rsidRDefault="000B7E87" w:rsidP="000B7E87">
      <w:pPr>
        <w:rPr>
          <w:rFonts w:ascii="Arial" w:hAnsi="Arial" w:cs="Arial"/>
          <w:bCs/>
          <w:color w:val="000000"/>
          <w:sz w:val="20"/>
          <w:szCs w:val="20"/>
        </w:rPr>
      </w:pPr>
      <w:r>
        <w:rPr>
          <w:rFonts w:ascii="Arial" w:hAnsi="Arial" w:cs="Arial"/>
          <w:bCs/>
          <w:color w:val="000000"/>
          <w:sz w:val="20"/>
          <w:szCs w:val="20"/>
        </w:rPr>
        <w:t xml:space="preserve">Reference Link: </w:t>
      </w:r>
      <w:hyperlink r:id="rId47" w:history="1">
        <w:r w:rsidRPr="006865D6">
          <w:rPr>
            <w:rStyle w:val="Hyperlink"/>
            <w:rFonts w:ascii="Arial" w:hAnsi="Arial" w:cs="Arial"/>
            <w:bCs/>
            <w:sz w:val="20"/>
            <w:szCs w:val="20"/>
          </w:rPr>
          <w:t>https://m.rbi.org.in/scripts/BS_ViewMasCirculardetails.aspx?id=12367</w:t>
        </w:r>
      </w:hyperlink>
    </w:p>
    <w:p w:rsidR="00BA0C06" w:rsidRDefault="00BA0C06" w:rsidP="00BA0C06">
      <w:pPr>
        <w:jc w:val="both"/>
        <w:rPr>
          <w:rFonts w:ascii="Arial" w:hAnsi="Arial" w:cs="Arial"/>
          <w:b/>
          <w:bCs/>
          <w:color w:val="000000"/>
          <w:sz w:val="20"/>
          <w:szCs w:val="20"/>
        </w:rPr>
      </w:pPr>
    </w:p>
    <w:p w:rsidR="00BA0C06" w:rsidRDefault="00BA0C06" w:rsidP="00BA0C06">
      <w:pPr>
        <w:jc w:val="both"/>
        <w:rPr>
          <w:rFonts w:ascii="Arial" w:hAnsi="Arial" w:cs="Arial"/>
          <w:b/>
          <w:bCs/>
          <w:color w:val="000000"/>
          <w:sz w:val="20"/>
          <w:szCs w:val="20"/>
        </w:rPr>
      </w:pPr>
    </w:p>
    <w:p w:rsidR="00BA0C06" w:rsidRDefault="00BA0C06" w:rsidP="00BA0C06">
      <w:pPr>
        <w:jc w:val="both"/>
        <w:rPr>
          <w:rFonts w:ascii="Arial" w:hAnsi="Arial" w:cs="Arial"/>
          <w:b/>
          <w:bCs/>
          <w:color w:val="000000"/>
          <w:sz w:val="20"/>
          <w:szCs w:val="20"/>
        </w:rPr>
      </w:pPr>
    </w:p>
    <w:p w:rsidR="00BA0C06" w:rsidRDefault="00BA0C06" w:rsidP="00BA0C06">
      <w:pPr>
        <w:jc w:val="both"/>
        <w:rPr>
          <w:rFonts w:ascii="Arial" w:hAnsi="Arial" w:cs="Arial"/>
          <w:b/>
          <w:bCs/>
          <w:color w:val="000000"/>
          <w:sz w:val="20"/>
          <w:szCs w:val="20"/>
        </w:rPr>
      </w:pPr>
    </w:p>
    <w:p w:rsidR="00BA0C06" w:rsidRDefault="00BA0C06" w:rsidP="00BA0C06">
      <w:pPr>
        <w:jc w:val="both"/>
        <w:rPr>
          <w:rFonts w:ascii="Arial" w:hAnsi="Arial" w:cs="Arial"/>
          <w:b/>
          <w:bCs/>
          <w:color w:val="000000"/>
          <w:sz w:val="20"/>
          <w:szCs w:val="20"/>
        </w:rPr>
      </w:pPr>
    </w:p>
    <w:p w:rsidR="00BA0C06" w:rsidRDefault="00BA0C06" w:rsidP="00BA0C06">
      <w:pPr>
        <w:jc w:val="both"/>
        <w:rPr>
          <w:rFonts w:ascii="Arial" w:hAnsi="Arial" w:cs="Arial"/>
          <w:b/>
          <w:bCs/>
          <w:color w:val="000000"/>
          <w:sz w:val="20"/>
          <w:szCs w:val="20"/>
        </w:rPr>
      </w:pPr>
    </w:p>
    <w:p w:rsidR="00BA0C06" w:rsidRDefault="00BA0C06" w:rsidP="00BA0C06">
      <w:pPr>
        <w:rPr>
          <w:rFonts w:ascii="Arial" w:hAnsi="Arial" w:cs="Arial"/>
          <w:b/>
          <w:bCs/>
          <w:color w:val="000000"/>
          <w:sz w:val="20"/>
          <w:szCs w:val="20"/>
        </w:rPr>
      </w:pPr>
      <w:r>
        <w:rPr>
          <w:rFonts w:ascii="Arial" w:hAnsi="Arial" w:cs="Arial"/>
          <w:b/>
          <w:bCs/>
          <w:color w:val="000000"/>
          <w:sz w:val="20"/>
          <w:szCs w:val="20"/>
        </w:rPr>
        <w:t>Gold Monetization Scheme (GMS), 2015</w:t>
      </w:r>
    </w:p>
    <w:p w:rsidR="00BA0C06" w:rsidRDefault="00BA0C06" w:rsidP="00BA0C06">
      <w:pPr>
        <w:pStyle w:val="NormalWeb"/>
        <w:rPr>
          <w:rFonts w:ascii="Arial" w:hAnsi="Arial" w:cs="Arial"/>
          <w:color w:val="000000"/>
          <w:sz w:val="20"/>
          <w:szCs w:val="20"/>
        </w:rPr>
      </w:pPr>
      <w:r>
        <w:rPr>
          <w:rFonts w:ascii="Arial" w:hAnsi="Arial" w:cs="Arial"/>
          <w:color w:val="000000"/>
          <w:sz w:val="20"/>
          <w:szCs w:val="20"/>
        </w:rPr>
        <w:t>RBI/2022-23/100</w:t>
      </w:r>
      <w:r>
        <w:rPr>
          <w:rFonts w:ascii="Arial" w:hAnsi="Arial" w:cs="Arial"/>
          <w:color w:val="000000"/>
          <w:sz w:val="20"/>
          <w:szCs w:val="20"/>
        </w:rPr>
        <w:br/>
        <w:t>DoR.AUT.REC.58/23.67.001/2022-23</w:t>
      </w:r>
    </w:p>
    <w:p w:rsidR="00BA0C06" w:rsidRDefault="00BA0C06" w:rsidP="00BA0C06">
      <w:pPr>
        <w:pStyle w:val="NormalWeb"/>
        <w:jc w:val="right"/>
        <w:rPr>
          <w:rFonts w:ascii="Arial" w:hAnsi="Arial" w:cs="Arial"/>
          <w:color w:val="000000"/>
          <w:sz w:val="20"/>
          <w:szCs w:val="20"/>
        </w:rPr>
      </w:pPr>
      <w:r>
        <w:rPr>
          <w:rFonts w:ascii="Arial" w:hAnsi="Arial" w:cs="Arial"/>
          <w:color w:val="000000"/>
          <w:sz w:val="20"/>
          <w:szCs w:val="20"/>
        </w:rPr>
        <w:t>August 04, 2022</w:t>
      </w:r>
    </w:p>
    <w:p w:rsidR="00BA0C06" w:rsidRDefault="00BA0C06" w:rsidP="00BA0C06">
      <w:pPr>
        <w:pStyle w:val="NormalWeb"/>
        <w:spacing w:after="0" w:afterAutospacing="0"/>
        <w:rPr>
          <w:rFonts w:ascii="Arial" w:hAnsi="Arial" w:cs="Arial"/>
          <w:color w:val="000000"/>
          <w:sz w:val="20"/>
          <w:szCs w:val="20"/>
        </w:rPr>
      </w:pPr>
      <w:r>
        <w:rPr>
          <w:rFonts w:ascii="Arial" w:hAnsi="Arial" w:cs="Arial"/>
          <w:color w:val="000000"/>
          <w:sz w:val="20"/>
          <w:szCs w:val="20"/>
        </w:rPr>
        <w:t>All Scheduled Commercial Banks</w:t>
      </w:r>
      <w:r>
        <w:rPr>
          <w:rFonts w:ascii="Arial" w:hAnsi="Arial" w:cs="Arial"/>
          <w:color w:val="000000"/>
          <w:sz w:val="20"/>
          <w:szCs w:val="20"/>
        </w:rPr>
        <w:br/>
        <w:t>(excluding Regional Rural Banks)</w:t>
      </w:r>
    </w:p>
    <w:p w:rsidR="00BA0C06" w:rsidRDefault="00BA0C06" w:rsidP="00BA0C06">
      <w:pPr>
        <w:pStyle w:val="NormalWeb"/>
        <w:rPr>
          <w:rFonts w:ascii="Arial" w:hAnsi="Arial" w:cs="Arial"/>
          <w:color w:val="000000"/>
          <w:sz w:val="20"/>
          <w:szCs w:val="20"/>
        </w:rPr>
      </w:pPr>
      <w:r>
        <w:rPr>
          <w:rFonts w:ascii="Arial" w:hAnsi="Arial" w:cs="Arial"/>
          <w:color w:val="000000"/>
          <w:sz w:val="20"/>
          <w:szCs w:val="20"/>
        </w:rPr>
        <w:t>Dear Sir/Madam</w:t>
      </w:r>
    </w:p>
    <w:p w:rsidR="00BA0C06" w:rsidRDefault="00BA0C06" w:rsidP="00BA0C06">
      <w:pPr>
        <w:pStyle w:val="head"/>
        <w:rPr>
          <w:rFonts w:ascii="Arial" w:hAnsi="Arial" w:cs="Arial"/>
          <w:b/>
          <w:bCs/>
          <w:color w:val="000000"/>
          <w:sz w:val="20"/>
          <w:szCs w:val="20"/>
        </w:rPr>
      </w:pPr>
      <w:r>
        <w:rPr>
          <w:rFonts w:ascii="Arial" w:hAnsi="Arial" w:cs="Arial"/>
          <w:b/>
          <w:bCs/>
          <w:color w:val="000000"/>
          <w:sz w:val="20"/>
          <w:szCs w:val="20"/>
        </w:rPr>
        <w:t>Gold Monetization Scheme (GMS), 2015</w:t>
      </w:r>
    </w:p>
    <w:p w:rsidR="00BA0C06" w:rsidRDefault="00BA0C06" w:rsidP="00BA0C06">
      <w:pPr>
        <w:pStyle w:val="NormalWeb"/>
        <w:rPr>
          <w:rFonts w:ascii="Arial" w:hAnsi="Arial" w:cs="Arial"/>
          <w:color w:val="000000"/>
          <w:sz w:val="20"/>
          <w:szCs w:val="20"/>
        </w:rPr>
      </w:pPr>
      <w:r>
        <w:rPr>
          <w:rFonts w:ascii="Arial" w:hAnsi="Arial" w:cs="Arial"/>
          <w:color w:val="000000"/>
          <w:sz w:val="20"/>
          <w:szCs w:val="20"/>
        </w:rPr>
        <w:t>In exercise of the powers conferred on the Reserve Bank of India under Section 35A of the Banking Regulation Act, 1949, the RBI makes the following amendments in the Reserve Bank of India (Gold Monetization Scheme, 2015) </w:t>
      </w:r>
      <w:hyperlink r:id="rId48" w:tgtFrame="_blank" w:history="1">
        <w:r>
          <w:rPr>
            <w:rStyle w:val="Hyperlink"/>
            <w:rFonts w:ascii="Arial" w:hAnsi="Arial" w:cs="Arial"/>
            <w:sz w:val="20"/>
            <w:szCs w:val="20"/>
          </w:rPr>
          <w:t>Master Direction No.DBR.IBD.No.45/23.67.003/2015-16 dated October 22, 2015</w:t>
        </w:r>
      </w:hyperlink>
      <w:r>
        <w:rPr>
          <w:rFonts w:ascii="Arial" w:hAnsi="Arial" w:cs="Arial"/>
          <w:color w:val="000000"/>
          <w:sz w:val="20"/>
          <w:szCs w:val="20"/>
        </w:rPr>
        <w:t>, with immediate effect.</w:t>
      </w:r>
    </w:p>
    <w:p w:rsidR="00BA0C06" w:rsidRDefault="00BA0C06" w:rsidP="00BA0C06">
      <w:pPr>
        <w:pStyle w:val="NormalWeb"/>
        <w:rPr>
          <w:rFonts w:ascii="Arial" w:hAnsi="Arial" w:cs="Arial"/>
          <w:color w:val="000000"/>
          <w:sz w:val="20"/>
          <w:szCs w:val="20"/>
        </w:rPr>
      </w:pPr>
      <w:r>
        <w:rPr>
          <w:rFonts w:ascii="Arial" w:hAnsi="Arial" w:cs="Arial"/>
          <w:color w:val="000000"/>
          <w:sz w:val="20"/>
          <w:szCs w:val="20"/>
        </w:rPr>
        <w:t>2. The existing sub-para 2.2.</w:t>
      </w:r>
      <w:proofErr w:type="gramStart"/>
      <w:r>
        <w:rPr>
          <w:rFonts w:ascii="Arial" w:hAnsi="Arial" w:cs="Arial"/>
          <w:color w:val="000000"/>
          <w:sz w:val="20"/>
          <w:szCs w:val="20"/>
        </w:rPr>
        <w:t>2.(</w:t>
      </w:r>
      <w:proofErr w:type="gramEnd"/>
      <w:r>
        <w:rPr>
          <w:rFonts w:ascii="Arial" w:hAnsi="Arial" w:cs="Arial"/>
          <w:color w:val="000000"/>
          <w:sz w:val="20"/>
          <w:szCs w:val="20"/>
        </w:rPr>
        <w:t>v) stands deleted (and hence the existing sub-paras 2.2.2.(vi) to 2.2.2.(viii) have accordingly been renumbered). The corresponding provisions have been suitably incorporated in sub-para 2.4.i.(a) and 2.4.i.(b).</w:t>
      </w:r>
    </w:p>
    <w:p w:rsidR="00BA0C06" w:rsidRDefault="00BA0C06" w:rsidP="00BA0C06">
      <w:pPr>
        <w:pStyle w:val="NormalWeb"/>
        <w:spacing w:after="0" w:afterAutospacing="0"/>
        <w:rPr>
          <w:rFonts w:ascii="Arial" w:hAnsi="Arial" w:cs="Arial"/>
          <w:color w:val="000000"/>
          <w:sz w:val="20"/>
          <w:szCs w:val="20"/>
        </w:rPr>
      </w:pPr>
      <w:r>
        <w:rPr>
          <w:rFonts w:ascii="Arial" w:hAnsi="Arial" w:cs="Arial"/>
          <w:color w:val="000000"/>
          <w:sz w:val="20"/>
          <w:szCs w:val="20"/>
        </w:rPr>
        <w:t>3. The sub-para 2.2.</w:t>
      </w:r>
      <w:proofErr w:type="gramStart"/>
      <w:r>
        <w:rPr>
          <w:rFonts w:ascii="Arial" w:hAnsi="Arial" w:cs="Arial"/>
          <w:color w:val="000000"/>
          <w:sz w:val="20"/>
          <w:szCs w:val="20"/>
        </w:rPr>
        <w:t>2.(</w:t>
      </w:r>
      <w:proofErr w:type="gramEnd"/>
      <w:r>
        <w:rPr>
          <w:rFonts w:ascii="Arial" w:hAnsi="Arial" w:cs="Arial"/>
          <w:color w:val="000000"/>
          <w:sz w:val="20"/>
          <w:szCs w:val="20"/>
        </w:rPr>
        <w:t>vii) has been amended to read as follows:</w:t>
      </w:r>
    </w:p>
    <w:p w:rsidR="00BA0C06" w:rsidRDefault="00BA0C06" w:rsidP="00BA0C06">
      <w:pPr>
        <w:pStyle w:val="NormalWeb"/>
        <w:rPr>
          <w:rFonts w:ascii="Arial" w:hAnsi="Arial" w:cs="Arial"/>
          <w:color w:val="000000"/>
          <w:sz w:val="20"/>
          <w:szCs w:val="20"/>
        </w:rPr>
      </w:pPr>
      <w:r>
        <w:rPr>
          <w:rFonts w:ascii="Arial" w:hAnsi="Arial" w:cs="Arial"/>
          <w:color w:val="000000"/>
          <w:sz w:val="20"/>
          <w:szCs w:val="20"/>
        </w:rPr>
        <w:t>“Central Government has decided that with effect from November 5, 2016, designated banks will be paid handling charges (including gold purity testing, refining, transportation, storage and any other relevant costs) for a new MLTGD at a flat rate of 1.5% and commission at the rate of 1% of the rupee equivalent of the amount of gold mobilized under the scheme until further notice. In case of renewal of deposits, as banks will not incur any expenses on purity testing, refining, transportation, storage and insurance etc., the banks will only be given a fixed commission of 1% of the rupee equivalent of the amount of gold on the date of renewal towards their administrative and account maintenance cost.”</w:t>
      </w:r>
    </w:p>
    <w:p w:rsidR="00BA0C06" w:rsidRDefault="00BA0C06" w:rsidP="00BA0C06">
      <w:pPr>
        <w:pStyle w:val="NormalWeb"/>
        <w:rPr>
          <w:rFonts w:ascii="Arial" w:hAnsi="Arial" w:cs="Arial"/>
          <w:color w:val="000000"/>
          <w:sz w:val="20"/>
          <w:szCs w:val="20"/>
        </w:rPr>
      </w:pPr>
      <w:r>
        <w:rPr>
          <w:rFonts w:ascii="Arial" w:hAnsi="Arial" w:cs="Arial"/>
          <w:color w:val="000000"/>
          <w:sz w:val="20"/>
          <w:szCs w:val="20"/>
        </w:rPr>
        <w:t>4. A new sub-para 2.4 has been inserted (and hence the existing sub-paras 2.4 to 2.10 have accordingly been renumbered) which reads as follows -</w:t>
      </w:r>
    </w:p>
    <w:p w:rsidR="00BA0C06" w:rsidRDefault="00BA0C06" w:rsidP="00BA0C06">
      <w:pPr>
        <w:pStyle w:val="head"/>
        <w:rPr>
          <w:rFonts w:ascii="Arial" w:hAnsi="Arial" w:cs="Arial"/>
          <w:b/>
          <w:bCs/>
          <w:color w:val="000000"/>
          <w:sz w:val="20"/>
          <w:szCs w:val="20"/>
        </w:rPr>
      </w:pPr>
      <w:r>
        <w:rPr>
          <w:rFonts w:ascii="Arial" w:hAnsi="Arial" w:cs="Arial"/>
          <w:b/>
          <w:bCs/>
          <w:color w:val="000000"/>
          <w:sz w:val="20"/>
          <w:szCs w:val="20"/>
        </w:rPr>
        <w:t>Guidelines for Renewal/Redemption of MLTGD</w:t>
      </w:r>
    </w:p>
    <w:p w:rsidR="00BA0C06" w:rsidRPr="00A410BB" w:rsidRDefault="00BA0C06" w:rsidP="00BA0C06">
      <w:pPr>
        <w:pStyle w:val="head"/>
        <w:spacing w:before="0" w:beforeAutospacing="0" w:after="0" w:afterAutospacing="0"/>
        <w:rPr>
          <w:rFonts w:ascii="Arial" w:hAnsi="Arial" w:cs="Arial"/>
          <w:bCs/>
          <w:color w:val="000000"/>
          <w:sz w:val="20"/>
          <w:szCs w:val="20"/>
        </w:rPr>
      </w:pPr>
      <w:r w:rsidRPr="00A410BB">
        <w:rPr>
          <w:rFonts w:ascii="Arial" w:hAnsi="Arial" w:cs="Arial"/>
          <w:bCs/>
          <w:color w:val="000000"/>
          <w:sz w:val="20"/>
          <w:szCs w:val="20"/>
        </w:rPr>
        <w:t>i. General</w:t>
      </w:r>
    </w:p>
    <w:p w:rsidR="00BA0C06" w:rsidRPr="00A410BB" w:rsidRDefault="00BA0C06" w:rsidP="00BA0C06">
      <w:pPr>
        <w:pStyle w:val="head"/>
        <w:spacing w:before="0" w:beforeAutospacing="0" w:after="0" w:afterAutospacing="0"/>
        <w:rPr>
          <w:rFonts w:ascii="Arial" w:hAnsi="Arial" w:cs="Arial"/>
          <w:bCs/>
          <w:color w:val="000000"/>
          <w:sz w:val="20"/>
          <w:szCs w:val="20"/>
        </w:rPr>
      </w:pPr>
      <w:r w:rsidRPr="00A410BB">
        <w:rPr>
          <w:rFonts w:ascii="Arial" w:hAnsi="Arial" w:cs="Arial"/>
          <w:bCs/>
          <w:color w:val="000000"/>
          <w:sz w:val="20"/>
          <w:szCs w:val="20"/>
        </w:rPr>
        <w:t>ii. Redemption in Gold</w:t>
      </w:r>
    </w:p>
    <w:p w:rsidR="00BA0C06" w:rsidRPr="00A410BB" w:rsidRDefault="00BA0C06" w:rsidP="00BA0C06">
      <w:pPr>
        <w:pStyle w:val="head"/>
        <w:spacing w:before="0" w:beforeAutospacing="0" w:after="0" w:afterAutospacing="0"/>
        <w:rPr>
          <w:rFonts w:ascii="Arial" w:hAnsi="Arial" w:cs="Arial"/>
          <w:bCs/>
          <w:color w:val="000000"/>
          <w:sz w:val="20"/>
          <w:szCs w:val="20"/>
        </w:rPr>
      </w:pPr>
      <w:r w:rsidRPr="00A410BB">
        <w:rPr>
          <w:rFonts w:ascii="Arial" w:hAnsi="Arial" w:cs="Arial"/>
          <w:bCs/>
          <w:color w:val="000000"/>
          <w:sz w:val="20"/>
          <w:szCs w:val="20"/>
        </w:rPr>
        <w:t>iii. Redemption in INR – Modalities</w:t>
      </w:r>
    </w:p>
    <w:p w:rsidR="00BA0C06" w:rsidRPr="00A410BB" w:rsidRDefault="00BA0C06" w:rsidP="00BA0C06">
      <w:pPr>
        <w:pStyle w:val="head"/>
        <w:spacing w:before="0" w:beforeAutospacing="0" w:after="0" w:afterAutospacing="0"/>
        <w:rPr>
          <w:rFonts w:ascii="Arial" w:hAnsi="Arial" w:cs="Arial"/>
          <w:bCs/>
          <w:color w:val="000000"/>
          <w:sz w:val="20"/>
          <w:szCs w:val="20"/>
        </w:rPr>
      </w:pPr>
      <w:r w:rsidRPr="00A410BB">
        <w:rPr>
          <w:rFonts w:ascii="Arial" w:hAnsi="Arial" w:cs="Arial"/>
          <w:bCs/>
          <w:color w:val="000000"/>
          <w:sz w:val="20"/>
          <w:szCs w:val="20"/>
        </w:rPr>
        <w:t>iv. Renewal of Deposit – Modalities</w:t>
      </w:r>
    </w:p>
    <w:p w:rsidR="00BA0C06" w:rsidRPr="00A410BB" w:rsidRDefault="00BA0C06" w:rsidP="00BA0C06">
      <w:pPr>
        <w:pStyle w:val="head"/>
        <w:spacing w:before="0" w:beforeAutospacing="0"/>
        <w:rPr>
          <w:rFonts w:ascii="Arial" w:hAnsi="Arial" w:cs="Arial"/>
          <w:bCs/>
          <w:color w:val="000000"/>
          <w:sz w:val="20"/>
          <w:szCs w:val="20"/>
        </w:rPr>
      </w:pPr>
      <w:r w:rsidRPr="00A410BB">
        <w:rPr>
          <w:rFonts w:ascii="Arial" w:hAnsi="Arial" w:cs="Arial"/>
          <w:bCs/>
          <w:color w:val="000000"/>
          <w:sz w:val="20"/>
          <w:szCs w:val="20"/>
        </w:rPr>
        <w:t>v. Partial Renewal and Partial Redemption in gold/INR – Modalities</w:t>
      </w:r>
    </w:p>
    <w:p w:rsidR="00BA0C06" w:rsidRDefault="00BA0C06" w:rsidP="00BA0C06">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rsidR="00BA0C06" w:rsidRDefault="00BA0C06" w:rsidP="00BA0C06">
      <w:pPr>
        <w:pStyle w:val="NormalWeb"/>
        <w:rPr>
          <w:rFonts w:ascii="Arial" w:hAnsi="Arial" w:cs="Arial"/>
          <w:color w:val="000000"/>
          <w:sz w:val="20"/>
          <w:szCs w:val="20"/>
        </w:rPr>
      </w:pPr>
      <w:r>
        <w:rPr>
          <w:rFonts w:ascii="Arial" w:hAnsi="Arial" w:cs="Arial"/>
          <w:color w:val="000000"/>
          <w:sz w:val="20"/>
          <w:szCs w:val="20"/>
        </w:rPr>
        <w:t xml:space="preserve">(Prakash </w:t>
      </w:r>
      <w:proofErr w:type="spellStart"/>
      <w:r>
        <w:rPr>
          <w:rFonts w:ascii="Arial" w:hAnsi="Arial" w:cs="Arial"/>
          <w:color w:val="000000"/>
          <w:sz w:val="20"/>
          <w:szCs w:val="20"/>
        </w:rPr>
        <w:t>Baliarsingh</w:t>
      </w:r>
      <w:proofErr w:type="spellEnd"/>
      <w:r>
        <w:rPr>
          <w:rFonts w:ascii="Arial" w:hAnsi="Arial" w:cs="Arial"/>
          <w:color w:val="000000"/>
          <w:sz w:val="20"/>
          <w:szCs w:val="20"/>
        </w:rPr>
        <w:t>)</w:t>
      </w:r>
      <w:r>
        <w:rPr>
          <w:rFonts w:ascii="Arial" w:hAnsi="Arial" w:cs="Arial"/>
          <w:color w:val="000000"/>
          <w:sz w:val="20"/>
          <w:szCs w:val="20"/>
        </w:rPr>
        <w:br/>
        <w:t>Chief General Manager</w:t>
      </w:r>
    </w:p>
    <w:p w:rsidR="00BA0C06" w:rsidRDefault="00BA0C06" w:rsidP="00BA0C06">
      <w:pPr>
        <w:pStyle w:val="NormalWeb"/>
        <w:rPr>
          <w:rFonts w:ascii="Arial" w:hAnsi="Arial" w:cs="Arial"/>
          <w:color w:val="000000"/>
          <w:sz w:val="20"/>
          <w:szCs w:val="20"/>
        </w:rPr>
      </w:pPr>
    </w:p>
    <w:p w:rsidR="00BA0C06" w:rsidRDefault="00BA0C06" w:rsidP="00BA0C06">
      <w:r>
        <w:t>More details can be referred to in the below link.</w:t>
      </w:r>
    </w:p>
    <w:p w:rsidR="00BA0C06" w:rsidRDefault="00BA0C06" w:rsidP="00BA0C06">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49" w:history="1">
        <w:r w:rsidRPr="006865D6">
          <w:rPr>
            <w:rStyle w:val="Hyperlink"/>
            <w:rFonts w:ascii="Arial" w:hAnsi="Arial" w:cs="Arial"/>
            <w:bCs/>
            <w:sz w:val="20"/>
            <w:szCs w:val="20"/>
          </w:rPr>
          <w:t>https://www.rbi.org.in/scripts/NotificationUser.aspx?Id=12368&amp;Mode=0</w:t>
        </w:r>
      </w:hyperlink>
    </w:p>
    <w:p w:rsidR="00BA0C06" w:rsidRDefault="00BA0C06" w:rsidP="00BA0C06">
      <w:pPr>
        <w:jc w:val="both"/>
        <w:rPr>
          <w:rFonts w:ascii="Arial" w:hAnsi="Arial" w:cs="Arial"/>
          <w:b/>
          <w:bCs/>
          <w:color w:val="000000"/>
          <w:sz w:val="20"/>
          <w:szCs w:val="20"/>
        </w:rPr>
      </w:pPr>
    </w:p>
    <w:p w:rsidR="00BA0C06" w:rsidRDefault="00BA0C06" w:rsidP="00BA0C06">
      <w:pPr>
        <w:pStyle w:val="NormalWeb"/>
        <w:rPr>
          <w:rFonts w:ascii="Arial" w:hAnsi="Arial" w:cs="Arial"/>
          <w:b/>
          <w:bCs/>
          <w:color w:val="000000"/>
          <w:sz w:val="20"/>
          <w:szCs w:val="20"/>
        </w:rPr>
      </w:pPr>
      <w:r>
        <w:rPr>
          <w:rFonts w:ascii="Arial" w:hAnsi="Arial" w:cs="Arial"/>
          <w:b/>
          <w:bCs/>
          <w:color w:val="000000"/>
          <w:sz w:val="20"/>
          <w:szCs w:val="20"/>
        </w:rPr>
        <w:t>Reserve Bank - Integrated Ombudsman Scheme, 2021 (RBIOS, 2021)</w:t>
      </w:r>
    </w:p>
    <w:p w:rsidR="00BA0C06" w:rsidRDefault="00BA0C06" w:rsidP="00BA0C06">
      <w:pPr>
        <w:pStyle w:val="head"/>
        <w:rPr>
          <w:rFonts w:ascii="Arial" w:hAnsi="Arial" w:cs="Arial"/>
          <w:b/>
          <w:bCs/>
          <w:color w:val="000000"/>
          <w:sz w:val="20"/>
          <w:szCs w:val="20"/>
        </w:rPr>
      </w:pPr>
      <w:r>
        <w:rPr>
          <w:rFonts w:ascii="Arial" w:hAnsi="Arial" w:cs="Arial"/>
          <w:b/>
          <w:bCs/>
          <w:color w:val="000000"/>
          <w:sz w:val="20"/>
          <w:szCs w:val="20"/>
        </w:rPr>
        <w:t>EXECUTIVE DIRECTOR</w:t>
      </w:r>
    </w:p>
    <w:p w:rsidR="00BA0C06" w:rsidRDefault="00BA0C06" w:rsidP="00BA0C06">
      <w:pPr>
        <w:pStyle w:val="head"/>
        <w:rPr>
          <w:rFonts w:ascii="Arial" w:hAnsi="Arial" w:cs="Arial"/>
          <w:b/>
          <w:bCs/>
          <w:color w:val="000000"/>
          <w:sz w:val="20"/>
          <w:szCs w:val="20"/>
        </w:rPr>
      </w:pPr>
      <w:r>
        <w:rPr>
          <w:rFonts w:ascii="Arial" w:hAnsi="Arial" w:cs="Arial"/>
          <w:b/>
          <w:bCs/>
          <w:color w:val="000000"/>
          <w:sz w:val="20"/>
          <w:szCs w:val="20"/>
        </w:rPr>
        <w:t>Reserve Bank of India</w:t>
      </w:r>
      <w:r>
        <w:rPr>
          <w:rFonts w:ascii="Arial" w:hAnsi="Arial" w:cs="Arial"/>
          <w:b/>
          <w:bCs/>
          <w:color w:val="000000"/>
          <w:sz w:val="20"/>
          <w:szCs w:val="20"/>
        </w:rPr>
        <w:br/>
        <w:t>Mumbai</w:t>
      </w:r>
    </w:p>
    <w:p w:rsidR="00BA0C06" w:rsidRDefault="00BA0C06" w:rsidP="00BA0C06">
      <w:pPr>
        <w:pStyle w:val="head"/>
        <w:jc w:val="center"/>
        <w:rPr>
          <w:rFonts w:ascii="Arial" w:hAnsi="Arial" w:cs="Arial"/>
          <w:b/>
          <w:bCs/>
          <w:color w:val="000000"/>
          <w:sz w:val="20"/>
          <w:szCs w:val="20"/>
        </w:rPr>
      </w:pPr>
      <w:r>
        <w:rPr>
          <w:rFonts w:ascii="Arial" w:hAnsi="Arial" w:cs="Arial"/>
          <w:b/>
          <w:bCs/>
          <w:color w:val="000000"/>
          <w:sz w:val="20"/>
          <w:szCs w:val="20"/>
        </w:rPr>
        <w:t>Reserve Bank - Integrated Ombudsman Scheme, 2021 (RBIOS, 2021)</w:t>
      </w:r>
    </w:p>
    <w:p w:rsidR="00BA0C06" w:rsidRDefault="00BA0C06" w:rsidP="00BA0C06">
      <w:pPr>
        <w:pStyle w:val="head"/>
        <w:jc w:val="center"/>
        <w:rPr>
          <w:rFonts w:ascii="Arial" w:hAnsi="Arial" w:cs="Arial"/>
          <w:b/>
          <w:bCs/>
          <w:color w:val="000000"/>
          <w:sz w:val="20"/>
          <w:szCs w:val="20"/>
        </w:rPr>
      </w:pPr>
      <w:r>
        <w:rPr>
          <w:rFonts w:ascii="Arial" w:hAnsi="Arial" w:cs="Arial"/>
          <w:b/>
          <w:bCs/>
          <w:color w:val="000000"/>
          <w:sz w:val="20"/>
          <w:szCs w:val="20"/>
          <w:u w:val="single"/>
        </w:rPr>
        <w:t>NOTIFICATION</w:t>
      </w:r>
    </w:p>
    <w:p w:rsidR="00BA0C06" w:rsidRDefault="00BA0C06" w:rsidP="00BA0C06">
      <w:pPr>
        <w:pStyle w:val="NormalWeb"/>
        <w:rPr>
          <w:rFonts w:ascii="Arial" w:hAnsi="Arial" w:cs="Arial"/>
          <w:color w:val="000000"/>
          <w:sz w:val="20"/>
          <w:szCs w:val="20"/>
        </w:rPr>
      </w:pPr>
      <w:proofErr w:type="gramStart"/>
      <w:r>
        <w:rPr>
          <w:rFonts w:ascii="Arial" w:hAnsi="Arial" w:cs="Arial"/>
          <w:color w:val="000000"/>
          <w:sz w:val="20"/>
          <w:szCs w:val="20"/>
        </w:rPr>
        <w:t>Ref.CEPD.PRD.No.S</w:t>
      </w:r>
      <w:proofErr w:type="gramEnd"/>
      <w:r>
        <w:rPr>
          <w:rFonts w:ascii="Arial" w:hAnsi="Arial" w:cs="Arial"/>
          <w:color w:val="000000"/>
          <w:sz w:val="20"/>
          <w:szCs w:val="20"/>
        </w:rPr>
        <w:t>544/13.01.001/2022-23</w:t>
      </w:r>
    </w:p>
    <w:p w:rsidR="00BA0C06" w:rsidRDefault="00BA0C06" w:rsidP="00BA0C06">
      <w:pPr>
        <w:pStyle w:val="NormalWeb"/>
        <w:jc w:val="right"/>
        <w:rPr>
          <w:rFonts w:ascii="Arial" w:hAnsi="Arial" w:cs="Arial"/>
          <w:color w:val="000000"/>
          <w:sz w:val="20"/>
          <w:szCs w:val="20"/>
        </w:rPr>
      </w:pPr>
      <w:r>
        <w:rPr>
          <w:rFonts w:ascii="Arial" w:hAnsi="Arial" w:cs="Arial"/>
          <w:color w:val="000000"/>
          <w:sz w:val="20"/>
          <w:szCs w:val="20"/>
        </w:rPr>
        <w:t>August 5, 2022</w:t>
      </w:r>
    </w:p>
    <w:p w:rsidR="00BA0C06" w:rsidRDefault="00BA0C06" w:rsidP="00BA0C06">
      <w:pPr>
        <w:pStyle w:val="NormalWeb"/>
        <w:rPr>
          <w:rFonts w:ascii="Arial" w:hAnsi="Arial" w:cs="Arial"/>
          <w:color w:val="000000"/>
          <w:sz w:val="20"/>
          <w:szCs w:val="20"/>
        </w:rPr>
      </w:pPr>
      <w:r>
        <w:rPr>
          <w:rFonts w:ascii="Arial" w:hAnsi="Arial" w:cs="Arial"/>
          <w:color w:val="000000"/>
          <w:sz w:val="20"/>
          <w:szCs w:val="20"/>
        </w:rPr>
        <w:t>In exercise of the powers conferred by sub section (1) of Section 11 of the Credit Information Companies (Regulation) Act, 2005, and in partial modification of its </w:t>
      </w:r>
      <w:hyperlink r:id="rId50" w:tgtFrame="_blank" w:history="1">
        <w:r>
          <w:rPr>
            <w:rStyle w:val="Hyperlink"/>
            <w:rFonts w:ascii="Arial" w:hAnsi="Arial" w:cs="Arial"/>
            <w:sz w:val="20"/>
            <w:szCs w:val="20"/>
          </w:rPr>
          <w:t>notification CEPD. PRD. No. S873/13.01.001/2021-22 dated November 12, 2021</w:t>
        </w:r>
      </w:hyperlink>
      <w:r>
        <w:rPr>
          <w:rFonts w:ascii="Arial" w:hAnsi="Arial" w:cs="Arial"/>
          <w:color w:val="000000"/>
          <w:sz w:val="20"/>
          <w:szCs w:val="20"/>
        </w:rPr>
        <w:t>, the Reserve Bank of India, being satisfied that it is in public interest to do so, and to provide an avenue for cost free alternate grievance redress to customers of regulated entities covered under the RBIOS 2021 (the Scheme) for grievances against Credit Information Compa</w:t>
      </w:r>
      <w:bookmarkStart w:id="0" w:name="_GoBack"/>
      <w:bookmarkEnd w:id="0"/>
      <w:r>
        <w:rPr>
          <w:rFonts w:ascii="Arial" w:hAnsi="Arial" w:cs="Arial"/>
          <w:color w:val="000000"/>
          <w:sz w:val="20"/>
          <w:szCs w:val="20"/>
        </w:rPr>
        <w:t>nies, hereby directs that the ‘Credit Information Company’ as defined in the Credit Information Companies (Regulation) Act, 2005, shall also be treated as a ‘Regulated Entity’ for the purpose of the Scheme.</w:t>
      </w:r>
    </w:p>
    <w:p w:rsidR="00BA0C06" w:rsidRDefault="00BA0C06" w:rsidP="00BA0C06">
      <w:pPr>
        <w:pStyle w:val="NormalWeb"/>
        <w:rPr>
          <w:rFonts w:ascii="Arial" w:hAnsi="Arial" w:cs="Arial"/>
          <w:color w:val="000000"/>
          <w:sz w:val="20"/>
          <w:szCs w:val="20"/>
        </w:rPr>
      </w:pPr>
      <w:r>
        <w:rPr>
          <w:rFonts w:ascii="Arial" w:hAnsi="Arial" w:cs="Arial"/>
          <w:color w:val="000000"/>
          <w:sz w:val="20"/>
          <w:szCs w:val="20"/>
        </w:rPr>
        <w:t>2. As a result, the Scheme shall also be applicable to Credit Information Companies to the extent not specifically excluded under the Scheme.</w:t>
      </w:r>
    </w:p>
    <w:p w:rsidR="00BA0C06" w:rsidRDefault="00BA0C06" w:rsidP="00BA0C06">
      <w:pPr>
        <w:pStyle w:val="NormalWeb"/>
        <w:rPr>
          <w:rFonts w:ascii="Arial" w:hAnsi="Arial" w:cs="Arial"/>
          <w:color w:val="000000"/>
          <w:sz w:val="20"/>
          <w:szCs w:val="20"/>
        </w:rPr>
      </w:pPr>
      <w:r>
        <w:rPr>
          <w:rFonts w:ascii="Arial" w:hAnsi="Arial" w:cs="Arial"/>
          <w:color w:val="000000"/>
          <w:sz w:val="20"/>
          <w:szCs w:val="20"/>
        </w:rPr>
        <w:t xml:space="preserve">3. The amendment in the Scheme shall come into force </w:t>
      </w:r>
      <w:proofErr w:type="spellStart"/>
      <w:r>
        <w:rPr>
          <w:rFonts w:ascii="Arial" w:hAnsi="Arial" w:cs="Arial"/>
          <w:color w:val="000000"/>
          <w:sz w:val="20"/>
          <w:szCs w:val="20"/>
        </w:rPr>
        <w:t>w.e.f</w:t>
      </w:r>
      <w:proofErr w:type="spellEnd"/>
      <w:r>
        <w:rPr>
          <w:rFonts w:ascii="Arial" w:hAnsi="Arial" w:cs="Arial"/>
          <w:color w:val="000000"/>
          <w:sz w:val="20"/>
          <w:szCs w:val="20"/>
        </w:rPr>
        <w:t>. September 1, 2022.</w:t>
      </w:r>
    </w:p>
    <w:p w:rsidR="00BA0C06" w:rsidRDefault="00BA0C06" w:rsidP="00BA0C06">
      <w:pPr>
        <w:pStyle w:val="NormalWeb"/>
        <w:rPr>
          <w:rFonts w:ascii="Arial" w:hAnsi="Arial" w:cs="Arial"/>
          <w:color w:val="000000"/>
          <w:sz w:val="20"/>
          <w:szCs w:val="20"/>
        </w:rPr>
      </w:pPr>
      <w:r>
        <w:rPr>
          <w:rFonts w:ascii="Arial" w:hAnsi="Arial" w:cs="Arial"/>
          <w:color w:val="000000"/>
          <w:sz w:val="20"/>
          <w:szCs w:val="20"/>
        </w:rPr>
        <w:t>4. An updated version of the Scheme is </w:t>
      </w:r>
      <w:hyperlink r:id="rId51" w:tgtFrame="_blank" w:history="1">
        <w:r>
          <w:rPr>
            <w:rStyle w:val="Hyperlink"/>
            <w:rFonts w:ascii="Arial" w:hAnsi="Arial" w:cs="Arial"/>
            <w:sz w:val="20"/>
            <w:szCs w:val="20"/>
          </w:rPr>
          <w:t>annexed</w:t>
        </w:r>
      </w:hyperlink>
      <w:r>
        <w:rPr>
          <w:rFonts w:ascii="Arial" w:hAnsi="Arial" w:cs="Arial"/>
          <w:color w:val="000000"/>
          <w:sz w:val="20"/>
          <w:szCs w:val="20"/>
        </w:rPr>
        <w:t>.</w:t>
      </w:r>
    </w:p>
    <w:p w:rsidR="00BA0C06" w:rsidRDefault="00BA0C06" w:rsidP="00BA0C06">
      <w:pPr>
        <w:pStyle w:val="NormalWeb"/>
        <w:rPr>
          <w:rFonts w:ascii="Arial" w:hAnsi="Arial" w:cs="Arial"/>
          <w:color w:val="000000"/>
          <w:sz w:val="20"/>
          <w:szCs w:val="20"/>
        </w:rPr>
      </w:pPr>
      <w:r>
        <w:rPr>
          <w:rFonts w:ascii="Arial" w:hAnsi="Arial" w:cs="Arial"/>
          <w:color w:val="000000"/>
          <w:sz w:val="20"/>
          <w:szCs w:val="20"/>
        </w:rPr>
        <w:t>(Anil Kumar Sharma)</w:t>
      </w:r>
    </w:p>
    <w:p w:rsidR="00BA0C06" w:rsidRDefault="00BA0C06" w:rsidP="00BA0C06">
      <w:pPr>
        <w:pStyle w:val="NormalWeb"/>
        <w:rPr>
          <w:rFonts w:ascii="Arial" w:hAnsi="Arial" w:cs="Arial"/>
          <w:color w:val="000000"/>
          <w:sz w:val="20"/>
          <w:szCs w:val="20"/>
        </w:rPr>
      </w:pPr>
    </w:p>
    <w:p w:rsidR="00BA0C06" w:rsidRDefault="00BA0C06" w:rsidP="00BA0C06">
      <w:pPr>
        <w:pStyle w:val="NormalWeb"/>
        <w:rPr>
          <w:rFonts w:ascii="Arial" w:hAnsi="Arial" w:cs="Arial"/>
          <w:color w:val="000000"/>
          <w:sz w:val="20"/>
          <w:szCs w:val="20"/>
        </w:rPr>
      </w:pPr>
    </w:p>
    <w:p w:rsidR="00BA0C06" w:rsidRDefault="00BA0C06" w:rsidP="00BA0C06">
      <w:pPr>
        <w:pStyle w:val="NormalWeb"/>
        <w:rPr>
          <w:rFonts w:ascii="Arial" w:hAnsi="Arial" w:cs="Arial"/>
          <w:color w:val="000000"/>
          <w:sz w:val="20"/>
          <w:szCs w:val="20"/>
        </w:rPr>
      </w:pPr>
    </w:p>
    <w:p w:rsidR="00BA0C06" w:rsidRDefault="00BA0C06" w:rsidP="00BA0C06">
      <w:r>
        <w:t>More details can be referred to in the below link.</w:t>
      </w:r>
    </w:p>
    <w:p w:rsidR="00BA0C06" w:rsidRDefault="00BA0C06" w:rsidP="00BA0C06">
      <w:pPr>
        <w:rPr>
          <w:rFonts w:ascii="Arial" w:hAnsi="Arial" w:cs="Arial"/>
          <w:bCs/>
          <w:color w:val="000000"/>
          <w:sz w:val="20"/>
          <w:szCs w:val="20"/>
        </w:rPr>
      </w:pPr>
      <w:r>
        <w:rPr>
          <w:rFonts w:ascii="Arial" w:hAnsi="Arial" w:cs="Arial"/>
          <w:bCs/>
          <w:color w:val="000000"/>
          <w:sz w:val="20"/>
          <w:szCs w:val="20"/>
        </w:rPr>
        <w:t xml:space="preserve">Reference Link: </w:t>
      </w:r>
      <w:hyperlink r:id="rId52" w:history="1">
        <w:r w:rsidRPr="006865D6">
          <w:rPr>
            <w:rStyle w:val="Hyperlink"/>
            <w:rFonts w:ascii="Arial" w:hAnsi="Arial" w:cs="Arial"/>
            <w:bCs/>
            <w:sz w:val="20"/>
            <w:szCs w:val="20"/>
          </w:rPr>
          <w:t>https://www.rbi.org.in/Scripts/NotificationUser.aspx?Id=12371&amp;Mode=0</w:t>
        </w:r>
      </w:hyperlink>
    </w:p>
    <w:p w:rsidR="00BA0C06" w:rsidRDefault="00BA0C06" w:rsidP="00BA0C06">
      <w:pPr>
        <w:rPr>
          <w:rFonts w:ascii="Arial" w:hAnsi="Arial" w:cs="Arial"/>
          <w:bCs/>
          <w:color w:val="000000"/>
          <w:sz w:val="20"/>
          <w:szCs w:val="20"/>
        </w:rPr>
      </w:pPr>
    </w:p>
    <w:p w:rsidR="00BA0C06" w:rsidRDefault="00BA0C06" w:rsidP="00BA0C06">
      <w:pPr>
        <w:rPr>
          <w:rFonts w:ascii="Arial" w:hAnsi="Arial" w:cs="Arial"/>
          <w:bCs/>
          <w:color w:val="000000"/>
          <w:sz w:val="20"/>
          <w:szCs w:val="20"/>
        </w:rPr>
      </w:pPr>
    </w:p>
    <w:p w:rsidR="00BA0C06" w:rsidRDefault="00BA0C06" w:rsidP="00BA0C06">
      <w:pPr>
        <w:rPr>
          <w:rFonts w:ascii="Arial" w:hAnsi="Arial" w:cs="Arial"/>
          <w:bCs/>
          <w:color w:val="000000"/>
          <w:sz w:val="20"/>
          <w:szCs w:val="20"/>
        </w:rPr>
      </w:pPr>
    </w:p>
    <w:p w:rsidR="00BA0C06" w:rsidRDefault="00BA0C06" w:rsidP="00BA0C06">
      <w:pPr>
        <w:rPr>
          <w:rFonts w:ascii="Arial" w:hAnsi="Arial" w:cs="Arial"/>
          <w:bCs/>
          <w:color w:val="000000"/>
          <w:sz w:val="20"/>
          <w:szCs w:val="20"/>
        </w:rPr>
      </w:pPr>
    </w:p>
    <w:p w:rsidR="00BA0C06" w:rsidRDefault="00BA0C06" w:rsidP="00BA0C06">
      <w:pPr>
        <w:rPr>
          <w:rFonts w:ascii="Arial" w:hAnsi="Arial" w:cs="Arial"/>
          <w:bCs/>
          <w:color w:val="000000"/>
          <w:sz w:val="20"/>
          <w:szCs w:val="20"/>
        </w:rPr>
      </w:pPr>
    </w:p>
    <w:p w:rsidR="00BA0C06" w:rsidRDefault="00BA0C06" w:rsidP="00BA0C06">
      <w:pPr>
        <w:rPr>
          <w:rFonts w:ascii="Arial" w:hAnsi="Arial" w:cs="Arial"/>
          <w:bCs/>
          <w:color w:val="000000"/>
          <w:sz w:val="20"/>
          <w:szCs w:val="20"/>
        </w:rPr>
      </w:pPr>
    </w:p>
    <w:p w:rsidR="00BA0C06" w:rsidRDefault="00BA0C06" w:rsidP="00BA0C06">
      <w:pPr>
        <w:rPr>
          <w:rFonts w:ascii="Arial" w:hAnsi="Arial" w:cs="Arial"/>
          <w:bCs/>
          <w:color w:val="000000"/>
          <w:sz w:val="20"/>
          <w:szCs w:val="20"/>
        </w:rPr>
      </w:pPr>
    </w:p>
    <w:p w:rsidR="00BA0C06" w:rsidRDefault="00BA0C06" w:rsidP="00BA0C06">
      <w:pPr>
        <w:rPr>
          <w:rFonts w:ascii="Arial" w:hAnsi="Arial" w:cs="Arial"/>
          <w:bCs/>
          <w:color w:val="000000"/>
          <w:sz w:val="20"/>
          <w:szCs w:val="20"/>
        </w:rPr>
      </w:pPr>
    </w:p>
    <w:p w:rsidR="00BA0C06" w:rsidRDefault="00BA0C06" w:rsidP="00BA0C06">
      <w:pPr>
        <w:rPr>
          <w:rFonts w:ascii="Arial" w:hAnsi="Arial" w:cs="Arial"/>
          <w:b/>
          <w:bCs/>
          <w:color w:val="000000"/>
          <w:sz w:val="20"/>
          <w:szCs w:val="20"/>
        </w:rPr>
      </w:pPr>
      <w:r>
        <w:rPr>
          <w:rFonts w:ascii="Arial" w:hAnsi="Arial" w:cs="Arial"/>
          <w:b/>
          <w:bCs/>
          <w:color w:val="000000"/>
          <w:sz w:val="20"/>
          <w:szCs w:val="20"/>
        </w:rPr>
        <w:t>Authorised Dealer Category-I License eligibility for Small Finance Banks</w:t>
      </w:r>
    </w:p>
    <w:p w:rsidR="00BA0C06" w:rsidRDefault="00BA0C06" w:rsidP="00BA0C06">
      <w:pPr>
        <w:pStyle w:val="NormalWeb"/>
        <w:jc w:val="both"/>
        <w:rPr>
          <w:rFonts w:ascii="Arial" w:hAnsi="Arial" w:cs="Arial"/>
          <w:color w:val="000000"/>
          <w:sz w:val="20"/>
          <w:szCs w:val="20"/>
        </w:rPr>
      </w:pPr>
      <w:r>
        <w:rPr>
          <w:rFonts w:ascii="Arial" w:hAnsi="Arial" w:cs="Arial"/>
          <w:color w:val="000000"/>
          <w:sz w:val="20"/>
          <w:szCs w:val="20"/>
        </w:rPr>
        <w:t>RBI/2022-23/104</w:t>
      </w:r>
      <w:r>
        <w:rPr>
          <w:rFonts w:ascii="Arial" w:hAnsi="Arial" w:cs="Arial"/>
          <w:color w:val="000000"/>
          <w:sz w:val="20"/>
          <w:szCs w:val="20"/>
        </w:rPr>
        <w:br/>
        <w:t>DOR.LIC.REC.60/16.13.218/2022-23</w:t>
      </w:r>
    </w:p>
    <w:p w:rsidR="00BA0C06" w:rsidRDefault="00BA0C06" w:rsidP="00BA0C06">
      <w:pPr>
        <w:pStyle w:val="NormalWeb"/>
        <w:jc w:val="right"/>
        <w:rPr>
          <w:rFonts w:ascii="Arial" w:hAnsi="Arial" w:cs="Arial"/>
          <w:color w:val="000000"/>
          <w:sz w:val="20"/>
          <w:szCs w:val="20"/>
        </w:rPr>
      </w:pPr>
      <w:r>
        <w:rPr>
          <w:rFonts w:ascii="Arial" w:hAnsi="Arial" w:cs="Arial"/>
          <w:color w:val="000000"/>
          <w:sz w:val="20"/>
          <w:szCs w:val="20"/>
        </w:rPr>
        <w:t>August 8, 2022</w:t>
      </w:r>
    </w:p>
    <w:p w:rsidR="00BA0C06" w:rsidRDefault="00BA0C06" w:rsidP="00BA0C06">
      <w:pPr>
        <w:pStyle w:val="NormalWeb"/>
        <w:jc w:val="both"/>
        <w:rPr>
          <w:rFonts w:ascii="Arial" w:hAnsi="Arial" w:cs="Arial"/>
          <w:color w:val="000000"/>
          <w:sz w:val="20"/>
          <w:szCs w:val="20"/>
        </w:rPr>
      </w:pPr>
      <w:r>
        <w:rPr>
          <w:rFonts w:ascii="Arial" w:hAnsi="Arial" w:cs="Arial"/>
          <w:color w:val="000000"/>
          <w:sz w:val="20"/>
          <w:szCs w:val="20"/>
        </w:rPr>
        <w:t>Managing Director and Chief Executive Officers of Small Finance Banks</w:t>
      </w:r>
    </w:p>
    <w:p w:rsidR="00BA0C06" w:rsidRDefault="00BA0C06" w:rsidP="00BA0C06">
      <w:pPr>
        <w:pStyle w:val="NormalWeb"/>
        <w:jc w:val="both"/>
        <w:rPr>
          <w:rFonts w:ascii="Arial" w:hAnsi="Arial" w:cs="Arial"/>
          <w:color w:val="000000"/>
          <w:sz w:val="20"/>
          <w:szCs w:val="20"/>
        </w:rPr>
      </w:pPr>
      <w:r>
        <w:rPr>
          <w:rFonts w:ascii="Arial" w:hAnsi="Arial" w:cs="Arial"/>
          <w:color w:val="000000"/>
          <w:sz w:val="20"/>
          <w:szCs w:val="20"/>
        </w:rPr>
        <w:t>Madam/ Dear Sir,</w:t>
      </w:r>
    </w:p>
    <w:p w:rsidR="00BA0C06" w:rsidRDefault="00BA0C06" w:rsidP="00BA0C06">
      <w:pPr>
        <w:pStyle w:val="head"/>
        <w:jc w:val="both"/>
        <w:rPr>
          <w:rFonts w:ascii="Arial" w:hAnsi="Arial" w:cs="Arial"/>
          <w:b/>
          <w:bCs/>
          <w:color w:val="000000"/>
          <w:sz w:val="20"/>
          <w:szCs w:val="20"/>
        </w:rPr>
      </w:pPr>
      <w:r>
        <w:rPr>
          <w:rFonts w:ascii="Arial" w:hAnsi="Arial" w:cs="Arial"/>
          <w:b/>
          <w:bCs/>
          <w:color w:val="000000"/>
          <w:sz w:val="20"/>
          <w:szCs w:val="20"/>
        </w:rPr>
        <w:t>Authorised Dealer Category-I License eligibility for Small Finance Banks</w:t>
      </w:r>
    </w:p>
    <w:p w:rsidR="00BA0C06" w:rsidRDefault="00BA0C06" w:rsidP="00BA0C06">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53" w:tgtFrame="_blank" w:history="1">
        <w:r>
          <w:rPr>
            <w:rStyle w:val="Hyperlink"/>
            <w:rFonts w:ascii="Arial" w:hAnsi="Arial" w:cs="Arial"/>
            <w:sz w:val="20"/>
            <w:szCs w:val="20"/>
          </w:rPr>
          <w:t>‘Guidelines for Licensing of Small Finance Banks in Private Sector’ dated November 27, 2014</w:t>
        </w:r>
      </w:hyperlink>
      <w:r>
        <w:rPr>
          <w:rFonts w:ascii="Arial" w:hAnsi="Arial" w:cs="Arial"/>
          <w:color w:val="000000"/>
          <w:sz w:val="20"/>
          <w:szCs w:val="20"/>
        </w:rPr>
        <w:t> and the </w:t>
      </w:r>
      <w:hyperlink r:id="rId54" w:tgtFrame="_blank" w:history="1">
        <w:r>
          <w:rPr>
            <w:rStyle w:val="Hyperlink"/>
            <w:rFonts w:ascii="Arial" w:hAnsi="Arial" w:cs="Arial"/>
            <w:sz w:val="20"/>
            <w:szCs w:val="20"/>
          </w:rPr>
          <w:t>‘Guidelines for ‘on-tap’ Licensing of Small Finance Banks in Private Sector’ released by Reserve Bank on December 5, 2019</w:t>
        </w:r>
      </w:hyperlink>
      <w:r>
        <w:rPr>
          <w:rFonts w:ascii="Arial" w:hAnsi="Arial" w:cs="Arial"/>
          <w:color w:val="000000"/>
          <w:sz w:val="20"/>
          <w:szCs w:val="20"/>
        </w:rPr>
        <w:t>.</w:t>
      </w:r>
    </w:p>
    <w:p w:rsidR="00BA0C06" w:rsidRDefault="00BA0C06" w:rsidP="00BA0C06">
      <w:pPr>
        <w:pStyle w:val="NormalWeb"/>
        <w:jc w:val="both"/>
        <w:rPr>
          <w:rFonts w:ascii="Arial" w:hAnsi="Arial" w:cs="Arial"/>
          <w:color w:val="000000"/>
          <w:sz w:val="20"/>
          <w:szCs w:val="20"/>
        </w:rPr>
      </w:pPr>
      <w:r>
        <w:rPr>
          <w:rFonts w:ascii="Arial" w:hAnsi="Arial" w:cs="Arial"/>
          <w:color w:val="000000"/>
          <w:sz w:val="20"/>
          <w:szCs w:val="20"/>
        </w:rPr>
        <w:t>2. In terms of paragraph 4 of the aforesaid Licensing Guidelines, a small finance bank (SFB) can also become Authorised Dealer Category-II in foreign exchange business for its clients’ requirements.</w:t>
      </w:r>
    </w:p>
    <w:p w:rsidR="00BA0C06" w:rsidRDefault="00BA0C06" w:rsidP="00BA0C06">
      <w:pPr>
        <w:pStyle w:val="NormalWeb"/>
        <w:jc w:val="both"/>
        <w:rPr>
          <w:rFonts w:ascii="Arial" w:hAnsi="Arial" w:cs="Arial"/>
          <w:color w:val="000000"/>
          <w:sz w:val="20"/>
          <w:szCs w:val="20"/>
        </w:rPr>
      </w:pPr>
      <w:r>
        <w:rPr>
          <w:rFonts w:ascii="Arial" w:hAnsi="Arial" w:cs="Arial"/>
          <w:color w:val="000000"/>
          <w:sz w:val="20"/>
          <w:szCs w:val="20"/>
        </w:rPr>
        <w:t>3. With the objective of giving more flexibility to SFBs to meet their customers’ foreign exchange business requirement, it has been decided that all the scheduled SFBs, after completion of at least two years of operations as Authorised Dealer Category-II, will be eligible for Authorised Dealer Category-I license, subject to compliance with the eligibility norms given in the </w:t>
      </w:r>
      <w:hyperlink r:id="rId55" w:anchor="AN1" w:history="1">
        <w:r>
          <w:rPr>
            <w:rStyle w:val="Hyperlink"/>
            <w:rFonts w:ascii="Arial" w:hAnsi="Arial" w:cs="Arial"/>
            <w:sz w:val="20"/>
            <w:szCs w:val="20"/>
          </w:rPr>
          <w:t>Annex-I</w:t>
        </w:r>
      </w:hyperlink>
      <w:r>
        <w:rPr>
          <w:rFonts w:ascii="Arial" w:hAnsi="Arial" w:cs="Arial"/>
          <w:color w:val="000000"/>
          <w:sz w:val="20"/>
          <w:szCs w:val="20"/>
        </w:rPr>
        <w:t>. The eligible SFBs may approach Foreign Exchange Department, Central Office, Reserve Bank of India with their applications along with the supporting documents with regard to their eligibility and requisite documents as specified in </w:t>
      </w:r>
      <w:hyperlink r:id="rId56" w:anchor="AN2" w:history="1">
        <w:r>
          <w:rPr>
            <w:rStyle w:val="Hyperlink"/>
            <w:rFonts w:ascii="Arial" w:hAnsi="Arial" w:cs="Arial"/>
            <w:sz w:val="20"/>
            <w:szCs w:val="20"/>
          </w:rPr>
          <w:t>Annex-II</w:t>
        </w:r>
      </w:hyperlink>
      <w:r>
        <w:rPr>
          <w:rFonts w:ascii="Arial" w:hAnsi="Arial" w:cs="Arial"/>
          <w:color w:val="000000"/>
          <w:sz w:val="20"/>
          <w:szCs w:val="20"/>
        </w:rPr>
        <w:t> for grant of Authorised Dealer Category-I license.</w:t>
      </w:r>
    </w:p>
    <w:p w:rsidR="00BA0C06" w:rsidRDefault="00BA0C06" w:rsidP="00BA0C06">
      <w:pPr>
        <w:pStyle w:val="NormalWeb"/>
        <w:jc w:val="both"/>
        <w:rPr>
          <w:rFonts w:ascii="Arial" w:hAnsi="Arial" w:cs="Arial"/>
          <w:color w:val="000000"/>
          <w:sz w:val="20"/>
          <w:szCs w:val="20"/>
        </w:rPr>
      </w:pPr>
      <w:r>
        <w:rPr>
          <w:rFonts w:ascii="Arial" w:hAnsi="Arial" w:cs="Arial"/>
          <w:color w:val="000000"/>
          <w:sz w:val="20"/>
          <w:szCs w:val="20"/>
        </w:rPr>
        <w:t>4. The other terms and conditions of the Licensing Guidelines remain unchanged.</w:t>
      </w:r>
    </w:p>
    <w:p w:rsidR="00BA0C06" w:rsidRDefault="00BA0C06" w:rsidP="00BA0C06">
      <w:pPr>
        <w:pStyle w:val="NormalWeb"/>
        <w:jc w:val="both"/>
        <w:rPr>
          <w:rFonts w:ascii="Arial" w:hAnsi="Arial" w:cs="Arial"/>
          <w:color w:val="000000"/>
          <w:sz w:val="20"/>
          <w:szCs w:val="20"/>
        </w:rPr>
      </w:pPr>
      <w:r>
        <w:rPr>
          <w:rFonts w:ascii="Arial" w:hAnsi="Arial" w:cs="Arial"/>
          <w:color w:val="000000"/>
          <w:sz w:val="20"/>
          <w:szCs w:val="20"/>
        </w:rPr>
        <w:t>Yours faithfully,</w:t>
      </w:r>
    </w:p>
    <w:p w:rsidR="00BA0C06" w:rsidRDefault="00BA0C06" w:rsidP="00BA0C06">
      <w:pPr>
        <w:pStyle w:val="NormalWeb"/>
        <w:rPr>
          <w:rFonts w:ascii="Arial" w:hAnsi="Arial" w:cs="Arial"/>
          <w:color w:val="000000"/>
          <w:sz w:val="20"/>
          <w:szCs w:val="20"/>
        </w:rPr>
      </w:pPr>
      <w:r>
        <w:rPr>
          <w:rFonts w:ascii="Arial" w:hAnsi="Arial" w:cs="Arial"/>
          <w:color w:val="000000"/>
          <w:sz w:val="20"/>
          <w:szCs w:val="20"/>
        </w:rPr>
        <w:t xml:space="preserve">(Prakash </w:t>
      </w:r>
      <w:proofErr w:type="spellStart"/>
      <w:r>
        <w:rPr>
          <w:rFonts w:ascii="Arial" w:hAnsi="Arial" w:cs="Arial"/>
          <w:color w:val="000000"/>
          <w:sz w:val="20"/>
          <w:szCs w:val="20"/>
        </w:rPr>
        <w:t>Baliarsingh</w:t>
      </w:r>
      <w:proofErr w:type="spellEnd"/>
      <w:r>
        <w:rPr>
          <w:rFonts w:ascii="Arial" w:hAnsi="Arial" w:cs="Arial"/>
          <w:color w:val="000000"/>
          <w:sz w:val="20"/>
          <w:szCs w:val="20"/>
        </w:rPr>
        <w:t>)</w:t>
      </w:r>
      <w:r>
        <w:rPr>
          <w:rFonts w:ascii="Arial" w:hAnsi="Arial" w:cs="Arial"/>
          <w:color w:val="000000"/>
          <w:sz w:val="20"/>
          <w:szCs w:val="20"/>
        </w:rPr>
        <w:br/>
        <w:t>Chief General Manager</w:t>
      </w:r>
    </w:p>
    <w:p w:rsidR="00BA0C06" w:rsidRDefault="00BA0C06" w:rsidP="00BA0C06"/>
    <w:p w:rsidR="00BA0C06" w:rsidRDefault="00BA0C06" w:rsidP="00BA0C06"/>
    <w:p w:rsidR="00BA0C06" w:rsidRDefault="00BA0C06" w:rsidP="00BA0C06">
      <w:r>
        <w:t>More details can be referred to in the below link.</w:t>
      </w:r>
    </w:p>
    <w:p w:rsidR="00BA0C06" w:rsidRDefault="00BA0C06" w:rsidP="00BA0C06">
      <w:pPr>
        <w:rPr>
          <w:rFonts w:ascii="Arial" w:hAnsi="Arial" w:cs="Arial"/>
          <w:sz w:val="20"/>
          <w:szCs w:val="20"/>
        </w:rPr>
      </w:pPr>
      <w:r>
        <w:rPr>
          <w:rFonts w:ascii="Arial" w:hAnsi="Arial" w:cs="Arial"/>
          <w:sz w:val="20"/>
          <w:szCs w:val="20"/>
        </w:rPr>
        <w:t xml:space="preserve">Reference Link: </w:t>
      </w:r>
      <w:hyperlink r:id="rId57" w:anchor=":~:text=It%20should%20have%20a%20minimum,in%20the%20preceding%20two%20years" w:history="1">
        <w:r w:rsidRPr="00200311">
          <w:rPr>
            <w:rStyle w:val="Hyperlink"/>
            <w:rFonts w:ascii="Arial" w:hAnsi="Arial" w:cs="Arial"/>
            <w:sz w:val="20"/>
            <w:szCs w:val="20"/>
          </w:rPr>
          <w:t>https://www.rbi.org.in/scripts/NotificationUser.aspx?Id=12373&amp;Mode=0#:~:text=It%20should%20have%20a%20minimum,in%20the%20preceding%20two%20years</w:t>
        </w:r>
      </w:hyperlink>
      <w:r w:rsidRPr="00C754F7">
        <w:rPr>
          <w:rFonts w:ascii="Arial" w:hAnsi="Arial" w:cs="Arial"/>
          <w:sz w:val="20"/>
          <w:szCs w:val="20"/>
        </w:rPr>
        <w:t>.</w:t>
      </w:r>
    </w:p>
    <w:p w:rsidR="00BA0C06" w:rsidRDefault="00BA0C06" w:rsidP="00BA0C06"/>
    <w:p w:rsidR="00BA0C06" w:rsidRDefault="00BA0C06" w:rsidP="00BA0C06"/>
    <w:p w:rsidR="00BA0C06" w:rsidRDefault="00BA0C06" w:rsidP="00BA0C06"/>
    <w:p w:rsidR="00BA0C06" w:rsidRDefault="00BA0C06" w:rsidP="00BA0C06"/>
    <w:p w:rsidR="00BA0C06" w:rsidRDefault="00BA0C06" w:rsidP="00BA0C06"/>
    <w:p w:rsidR="00BA0C06" w:rsidRDefault="00BA0C06" w:rsidP="00BA0C06"/>
    <w:p w:rsidR="00BA0C06" w:rsidRDefault="00BA0C06" w:rsidP="00BA0C06">
      <w:pPr>
        <w:rPr>
          <w:rFonts w:ascii="Arial" w:hAnsi="Arial" w:cs="Arial"/>
          <w:bCs/>
          <w:color w:val="000000"/>
          <w:sz w:val="20"/>
          <w:szCs w:val="20"/>
        </w:rPr>
      </w:pPr>
    </w:p>
    <w:p w:rsidR="00BA0C06" w:rsidRDefault="00BA0C06" w:rsidP="00BA0C06">
      <w:pPr>
        <w:rPr>
          <w:rFonts w:ascii="Arial" w:hAnsi="Arial" w:cs="Arial"/>
          <w:b/>
          <w:bCs/>
          <w:color w:val="000000"/>
          <w:sz w:val="20"/>
          <w:szCs w:val="20"/>
        </w:rPr>
      </w:pPr>
      <w:r>
        <w:rPr>
          <w:rFonts w:ascii="Arial" w:hAnsi="Arial" w:cs="Arial"/>
          <w:b/>
          <w:bCs/>
          <w:color w:val="000000"/>
          <w:sz w:val="20"/>
          <w:szCs w:val="20"/>
        </w:rPr>
        <w:t>Rupee Interest Rate Derivatives (Reserve Bank) Directions – Review</w:t>
      </w:r>
    </w:p>
    <w:p w:rsidR="00BA0C06" w:rsidRDefault="00BA0C06" w:rsidP="00BA0C06">
      <w:pPr>
        <w:pStyle w:val="NormalWeb"/>
        <w:jc w:val="both"/>
        <w:rPr>
          <w:rFonts w:ascii="Arial" w:hAnsi="Arial" w:cs="Arial"/>
          <w:color w:val="000000"/>
          <w:sz w:val="20"/>
          <w:szCs w:val="20"/>
        </w:rPr>
      </w:pPr>
      <w:r>
        <w:rPr>
          <w:rFonts w:ascii="Arial" w:hAnsi="Arial" w:cs="Arial"/>
          <w:color w:val="000000"/>
          <w:sz w:val="20"/>
          <w:szCs w:val="20"/>
        </w:rPr>
        <w:t>RBI/2022-23/105</w:t>
      </w:r>
      <w:r>
        <w:rPr>
          <w:rFonts w:ascii="Arial" w:hAnsi="Arial" w:cs="Arial"/>
          <w:color w:val="000000"/>
          <w:sz w:val="20"/>
          <w:szCs w:val="20"/>
        </w:rPr>
        <w:br/>
        <w:t>FMRD.DIRD.05/14.03.046/2022-23</w:t>
      </w:r>
    </w:p>
    <w:p w:rsidR="00BA0C06" w:rsidRDefault="00BA0C06" w:rsidP="00BA0C06">
      <w:pPr>
        <w:pStyle w:val="NormalWeb"/>
        <w:jc w:val="right"/>
        <w:rPr>
          <w:rFonts w:ascii="Arial" w:hAnsi="Arial" w:cs="Arial"/>
          <w:color w:val="000000"/>
          <w:sz w:val="20"/>
          <w:szCs w:val="20"/>
        </w:rPr>
      </w:pPr>
      <w:r>
        <w:rPr>
          <w:rFonts w:ascii="Arial" w:hAnsi="Arial" w:cs="Arial"/>
          <w:color w:val="000000"/>
          <w:sz w:val="20"/>
          <w:szCs w:val="20"/>
        </w:rPr>
        <w:t>August 08, 2022</w:t>
      </w:r>
    </w:p>
    <w:p w:rsidR="00BA0C06" w:rsidRDefault="00BA0C06" w:rsidP="00BA0C0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To,</w:t>
      </w:r>
    </w:p>
    <w:p w:rsidR="00BA0C06" w:rsidRDefault="00BA0C06" w:rsidP="00BA0C0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All Eligible Market Participants</w:t>
      </w:r>
    </w:p>
    <w:p w:rsidR="00BA0C06" w:rsidRDefault="00BA0C06" w:rsidP="00BA0C0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Madam / Sir,</w:t>
      </w:r>
    </w:p>
    <w:p w:rsidR="00BA0C06" w:rsidRDefault="00BA0C06" w:rsidP="00BA0C06">
      <w:pPr>
        <w:pStyle w:val="head"/>
        <w:jc w:val="center"/>
        <w:rPr>
          <w:rFonts w:ascii="Arial" w:hAnsi="Arial" w:cs="Arial"/>
          <w:b/>
          <w:bCs/>
          <w:color w:val="000000"/>
          <w:sz w:val="20"/>
          <w:szCs w:val="20"/>
        </w:rPr>
      </w:pPr>
      <w:r>
        <w:rPr>
          <w:rFonts w:ascii="Arial" w:hAnsi="Arial" w:cs="Arial"/>
          <w:b/>
          <w:bCs/>
          <w:color w:val="000000"/>
          <w:sz w:val="20"/>
          <w:szCs w:val="20"/>
        </w:rPr>
        <w:t>Rupee Interest Rate Derivatives (Reserve Bank) Directions - Review</w:t>
      </w:r>
    </w:p>
    <w:p w:rsidR="00BA0C06" w:rsidRDefault="00BA0C06" w:rsidP="00BA0C06">
      <w:pPr>
        <w:pStyle w:val="NormalWeb"/>
        <w:jc w:val="both"/>
        <w:rPr>
          <w:rFonts w:ascii="Arial" w:hAnsi="Arial" w:cs="Arial"/>
          <w:color w:val="000000"/>
          <w:sz w:val="20"/>
          <w:szCs w:val="20"/>
        </w:rPr>
      </w:pPr>
      <w:r>
        <w:rPr>
          <w:rFonts w:ascii="Arial" w:hAnsi="Arial" w:cs="Arial"/>
          <w:color w:val="000000"/>
          <w:sz w:val="20"/>
          <w:szCs w:val="20"/>
        </w:rPr>
        <w:t>Please refer to Paragraph 4 of the </w:t>
      </w:r>
      <w:hyperlink r:id="rId58" w:tgtFrame="_blank" w:history="1">
        <w:r>
          <w:rPr>
            <w:rStyle w:val="Hyperlink"/>
            <w:rFonts w:ascii="Arial" w:hAnsi="Arial" w:cs="Arial"/>
            <w:sz w:val="20"/>
            <w:szCs w:val="20"/>
          </w:rPr>
          <w:t>Statement on Developmental and Regulatory Policies</w:t>
        </w:r>
      </w:hyperlink>
      <w:r>
        <w:rPr>
          <w:rFonts w:ascii="Arial" w:hAnsi="Arial" w:cs="Arial"/>
          <w:color w:val="000000"/>
          <w:sz w:val="20"/>
          <w:szCs w:val="20"/>
        </w:rPr>
        <w:t>, issued as a part of the </w:t>
      </w:r>
      <w:hyperlink r:id="rId59" w:tgtFrame="_blank" w:history="1">
        <w:r>
          <w:rPr>
            <w:rStyle w:val="Hyperlink"/>
            <w:rFonts w:ascii="Arial" w:hAnsi="Arial" w:cs="Arial"/>
            <w:sz w:val="20"/>
            <w:szCs w:val="20"/>
          </w:rPr>
          <w:t>Bi-monthly Monetary Policy Statement for 2022-23 dated August 05, 2022</w:t>
        </w:r>
      </w:hyperlink>
      <w:r>
        <w:rPr>
          <w:rFonts w:ascii="Arial" w:hAnsi="Arial" w:cs="Arial"/>
          <w:color w:val="000000"/>
          <w:sz w:val="20"/>
          <w:szCs w:val="20"/>
        </w:rPr>
        <w:t> regarding permitting stand-alone primary dealers (SPDs) in India to deal in Foreign Currency Settled Overnight Indexed Swaps (FCS-OIS). Attention is also invited to the </w:t>
      </w:r>
      <w:hyperlink r:id="rId60" w:tgtFrame="_blank" w:history="1">
        <w:r>
          <w:rPr>
            <w:rStyle w:val="Hyperlink"/>
            <w:rFonts w:ascii="Arial" w:hAnsi="Arial" w:cs="Arial"/>
            <w:sz w:val="20"/>
            <w:szCs w:val="20"/>
          </w:rPr>
          <w:t>Rupee Interest Rate Derivatives (Reserve Bank) Directions, 2019 dated June 26, 2019</w:t>
        </w:r>
      </w:hyperlink>
      <w:r>
        <w:rPr>
          <w:rFonts w:ascii="Arial" w:hAnsi="Arial" w:cs="Arial"/>
          <w:color w:val="000000"/>
          <w:sz w:val="20"/>
          <w:szCs w:val="20"/>
        </w:rPr>
        <w:t>, as amended from time to time (hereinafter, Directions).</w:t>
      </w:r>
    </w:p>
    <w:p w:rsidR="00BA0C06" w:rsidRDefault="00BA0C06" w:rsidP="00BA0C06">
      <w:pPr>
        <w:pStyle w:val="NormalWeb"/>
        <w:jc w:val="both"/>
        <w:rPr>
          <w:rFonts w:ascii="Arial" w:hAnsi="Arial" w:cs="Arial"/>
          <w:color w:val="000000"/>
          <w:sz w:val="20"/>
          <w:szCs w:val="20"/>
        </w:rPr>
      </w:pPr>
      <w:r>
        <w:rPr>
          <w:rFonts w:ascii="Arial" w:hAnsi="Arial" w:cs="Arial"/>
          <w:color w:val="000000"/>
          <w:sz w:val="20"/>
          <w:szCs w:val="20"/>
        </w:rPr>
        <w:t>2. Banks in India having Authorised Dealer Category-I (AD Cat-I) license under FEMA, 1999 have been permitted under the above Directions to offer FCS-OIS to persons not resident in India as well as to other AD Cat-I banks vide </w:t>
      </w:r>
      <w:hyperlink r:id="rId61" w:tgtFrame="_blank" w:history="1">
        <w:r>
          <w:rPr>
            <w:rStyle w:val="Hyperlink"/>
            <w:rFonts w:ascii="Arial" w:hAnsi="Arial" w:cs="Arial"/>
            <w:sz w:val="20"/>
            <w:szCs w:val="20"/>
          </w:rPr>
          <w:t>circular FMRD.DIRD.12/14.03.046/2021-22 dated February 10, 2022</w:t>
        </w:r>
      </w:hyperlink>
      <w:r>
        <w:rPr>
          <w:rFonts w:ascii="Arial" w:hAnsi="Arial" w:cs="Arial"/>
          <w:color w:val="000000"/>
          <w:sz w:val="20"/>
          <w:szCs w:val="20"/>
        </w:rPr>
        <w:t>. On a review, it has been decided that SPDs, authorized under section 10(1) of FEMA, 1999 shall also be eligible to offer FCS-OIS to persons not resident in India as well as to other AD Cat-I banks and eligible SPDs.</w:t>
      </w:r>
    </w:p>
    <w:p w:rsidR="00BA0C06" w:rsidRDefault="00BA0C06" w:rsidP="00BA0C06">
      <w:pPr>
        <w:pStyle w:val="NormalWeb"/>
        <w:jc w:val="both"/>
        <w:rPr>
          <w:rFonts w:ascii="Arial" w:hAnsi="Arial" w:cs="Arial"/>
          <w:color w:val="000000"/>
          <w:sz w:val="20"/>
          <w:szCs w:val="20"/>
        </w:rPr>
      </w:pPr>
      <w:r>
        <w:rPr>
          <w:rFonts w:ascii="Arial" w:hAnsi="Arial" w:cs="Arial"/>
          <w:color w:val="000000"/>
          <w:sz w:val="20"/>
          <w:szCs w:val="20"/>
        </w:rPr>
        <w:t>3. The instructions shall be applicable with immediate effect. The </w:t>
      </w:r>
      <w:hyperlink r:id="rId62" w:tgtFrame="_blank" w:history="1">
        <w:r>
          <w:rPr>
            <w:rStyle w:val="Hyperlink"/>
            <w:rFonts w:ascii="Arial" w:hAnsi="Arial" w:cs="Arial"/>
            <w:sz w:val="20"/>
            <w:szCs w:val="20"/>
          </w:rPr>
          <w:t>updated Directions</w:t>
        </w:r>
      </w:hyperlink>
      <w:r>
        <w:rPr>
          <w:rFonts w:ascii="Arial" w:hAnsi="Arial" w:cs="Arial"/>
          <w:color w:val="000000"/>
          <w:sz w:val="20"/>
          <w:szCs w:val="20"/>
        </w:rPr>
        <w:t> are attached.</w:t>
      </w:r>
    </w:p>
    <w:p w:rsidR="00BA0C06" w:rsidRDefault="00BA0C06" w:rsidP="00BA0C06">
      <w:pPr>
        <w:pStyle w:val="NormalWeb"/>
        <w:rPr>
          <w:rFonts w:ascii="Arial" w:hAnsi="Arial" w:cs="Arial"/>
          <w:color w:val="000000"/>
          <w:sz w:val="20"/>
          <w:szCs w:val="20"/>
        </w:rPr>
      </w:pPr>
      <w:r>
        <w:rPr>
          <w:rFonts w:ascii="Arial" w:hAnsi="Arial" w:cs="Arial"/>
          <w:color w:val="000000"/>
          <w:sz w:val="20"/>
          <w:szCs w:val="20"/>
        </w:rPr>
        <w:t>4. The instructions contained in this circular have been issued in exercise of the powers conferred under section 45W of the Reserve Bank of India Act, 1934 read with section 45U of the Act and of all the powers enabling it in this behalf.</w:t>
      </w:r>
    </w:p>
    <w:p w:rsidR="00BA0C06" w:rsidRDefault="00BA0C06" w:rsidP="00BA0C06">
      <w:pPr>
        <w:pStyle w:val="NormalWeb"/>
        <w:rPr>
          <w:rFonts w:ascii="Arial" w:hAnsi="Arial" w:cs="Arial"/>
          <w:color w:val="000000"/>
          <w:sz w:val="20"/>
          <w:szCs w:val="20"/>
        </w:rPr>
      </w:pPr>
      <w:r>
        <w:rPr>
          <w:rFonts w:ascii="Arial" w:hAnsi="Arial" w:cs="Arial"/>
          <w:color w:val="000000"/>
          <w:sz w:val="20"/>
          <w:szCs w:val="20"/>
        </w:rPr>
        <w:t>Yours faithfully,</w:t>
      </w:r>
    </w:p>
    <w:p w:rsidR="00BA0C06" w:rsidRDefault="00BA0C06" w:rsidP="00BA0C06">
      <w:pPr>
        <w:pStyle w:val="NormalWeb"/>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rsidR="00BA0C06" w:rsidRDefault="00BA0C06" w:rsidP="00BA0C06"/>
    <w:p w:rsidR="00BA0C06" w:rsidRDefault="00BA0C06" w:rsidP="00BA0C06"/>
    <w:p w:rsidR="00BA0C06" w:rsidRDefault="00BA0C06" w:rsidP="00BA0C06"/>
    <w:p w:rsidR="00BA0C06" w:rsidRDefault="00BA0C06" w:rsidP="00BA0C06"/>
    <w:p w:rsidR="00BA0C06" w:rsidRDefault="00BA0C06" w:rsidP="00BA0C06">
      <w:r>
        <w:t>More details can be referred to in the below link.</w:t>
      </w:r>
    </w:p>
    <w:p w:rsidR="00BA0C06" w:rsidRDefault="00BA0C06" w:rsidP="00BA0C06">
      <w:pPr>
        <w:rPr>
          <w:rFonts w:ascii="Arial" w:hAnsi="Arial" w:cs="Arial"/>
          <w:sz w:val="20"/>
          <w:szCs w:val="20"/>
        </w:rPr>
      </w:pPr>
      <w:r>
        <w:rPr>
          <w:rFonts w:ascii="Arial" w:hAnsi="Arial" w:cs="Arial"/>
          <w:sz w:val="20"/>
          <w:szCs w:val="20"/>
        </w:rPr>
        <w:t xml:space="preserve">Reference Link: </w:t>
      </w:r>
      <w:hyperlink r:id="rId63" w:history="1">
        <w:r w:rsidRPr="00200311">
          <w:rPr>
            <w:rStyle w:val="Hyperlink"/>
            <w:rFonts w:ascii="Arial" w:hAnsi="Arial" w:cs="Arial"/>
            <w:sz w:val="20"/>
            <w:szCs w:val="20"/>
          </w:rPr>
          <w:t>https://m.rbi.org.in/scripts/FS_Notification.aspx?Id=12374&amp;fn=6&amp;Mode=0</w:t>
        </w:r>
      </w:hyperlink>
    </w:p>
    <w:p w:rsidR="00BA0C06" w:rsidRDefault="00BA0C06" w:rsidP="00BA0C06">
      <w:pPr>
        <w:rPr>
          <w:rFonts w:ascii="Arial" w:hAnsi="Arial" w:cs="Arial"/>
          <w:sz w:val="20"/>
          <w:szCs w:val="20"/>
        </w:rPr>
      </w:pPr>
    </w:p>
    <w:p w:rsidR="00BA0C06" w:rsidRDefault="00BA0C06" w:rsidP="00BA0C06">
      <w:pPr>
        <w:rPr>
          <w:rFonts w:ascii="Arial" w:hAnsi="Arial" w:cs="Arial"/>
          <w:bCs/>
          <w:color w:val="000000"/>
          <w:sz w:val="20"/>
          <w:szCs w:val="20"/>
        </w:rPr>
      </w:pPr>
    </w:p>
    <w:p w:rsidR="00BA0C06" w:rsidRDefault="00BA0C06" w:rsidP="00BA0C06">
      <w:pPr>
        <w:rPr>
          <w:rFonts w:ascii="Arial" w:hAnsi="Arial" w:cs="Arial"/>
          <w:bCs/>
          <w:color w:val="000000"/>
          <w:sz w:val="20"/>
          <w:szCs w:val="20"/>
        </w:rPr>
      </w:pPr>
    </w:p>
    <w:p w:rsidR="00BA0C06" w:rsidRDefault="00BA0C06" w:rsidP="00BA0C06">
      <w:pPr>
        <w:rPr>
          <w:rFonts w:ascii="Arial" w:hAnsi="Arial" w:cs="Arial"/>
          <w:bCs/>
          <w:color w:val="000000"/>
          <w:sz w:val="20"/>
          <w:szCs w:val="20"/>
        </w:rPr>
      </w:pPr>
    </w:p>
    <w:p w:rsidR="00BA0C06" w:rsidRDefault="00BA0C06" w:rsidP="00BA0C06">
      <w:pPr>
        <w:rPr>
          <w:rFonts w:ascii="Arial" w:hAnsi="Arial" w:cs="Arial"/>
          <w:bCs/>
          <w:color w:val="000000"/>
          <w:sz w:val="20"/>
          <w:szCs w:val="20"/>
        </w:rPr>
      </w:pPr>
    </w:p>
    <w:p w:rsidR="0001090D" w:rsidRDefault="0001090D" w:rsidP="0001090D">
      <w:pPr>
        <w:rPr>
          <w:rFonts w:ascii="Arial" w:hAnsi="Arial" w:cs="Arial"/>
          <w:b/>
          <w:bCs/>
          <w:color w:val="000000"/>
          <w:sz w:val="20"/>
          <w:szCs w:val="20"/>
        </w:rPr>
      </w:pPr>
      <w:r>
        <w:rPr>
          <w:rFonts w:ascii="Arial" w:hAnsi="Arial" w:cs="Arial"/>
          <w:b/>
          <w:bCs/>
          <w:color w:val="000000"/>
          <w:sz w:val="20"/>
          <w:szCs w:val="20"/>
        </w:rPr>
        <w:t>Section 23 of the Banking Regulation Act, 1949 (As Applicable to Co-operative Societies) – Opening of new place of business by District Central Co-operative Banks (DCCBs)</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RBI/2022-23/106</w:t>
      </w:r>
      <w:r>
        <w:rPr>
          <w:rFonts w:ascii="Arial" w:hAnsi="Arial" w:cs="Arial"/>
          <w:color w:val="000000"/>
          <w:sz w:val="20"/>
          <w:szCs w:val="20"/>
        </w:rPr>
        <w:br/>
        <w:t>DOR.REG.No.63/19.51.052/2022-23</w:t>
      </w:r>
    </w:p>
    <w:p w:rsidR="0001090D" w:rsidRDefault="0001090D" w:rsidP="0001090D">
      <w:pPr>
        <w:pStyle w:val="NormalWeb"/>
        <w:jc w:val="right"/>
        <w:rPr>
          <w:rFonts w:ascii="Arial" w:hAnsi="Arial" w:cs="Arial"/>
          <w:color w:val="000000"/>
          <w:sz w:val="20"/>
          <w:szCs w:val="20"/>
        </w:rPr>
      </w:pPr>
      <w:r>
        <w:rPr>
          <w:rFonts w:ascii="Arial" w:hAnsi="Arial" w:cs="Arial"/>
          <w:color w:val="000000"/>
          <w:sz w:val="20"/>
          <w:szCs w:val="20"/>
        </w:rPr>
        <w:t>August 11, 2022</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All District Central Co-operative Banks</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Madam/Sir,</w:t>
      </w:r>
    </w:p>
    <w:p w:rsidR="0001090D" w:rsidRDefault="0001090D" w:rsidP="0001090D">
      <w:pPr>
        <w:pStyle w:val="head"/>
        <w:jc w:val="both"/>
        <w:rPr>
          <w:rFonts w:ascii="Arial" w:hAnsi="Arial" w:cs="Arial"/>
          <w:b/>
          <w:bCs/>
          <w:color w:val="000000"/>
          <w:sz w:val="20"/>
          <w:szCs w:val="20"/>
        </w:rPr>
      </w:pPr>
      <w:r>
        <w:rPr>
          <w:rFonts w:ascii="Arial" w:hAnsi="Arial" w:cs="Arial"/>
          <w:b/>
          <w:bCs/>
          <w:color w:val="000000"/>
          <w:sz w:val="20"/>
          <w:szCs w:val="20"/>
        </w:rPr>
        <w:t>Section 23 of the Banking Regulation Act, 1949 (As Applicable to Co-operative Societies) – Opening of new place of business by District Central Co-operative Banks (DCCBs)</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Pursuant to the amendment to the Banking Regulation Act (No.39 of 2020) dated September 29, 2020, District Central Co-operative Banks (DCCBs) are permitted to open new place of business/install ATMs or shift the location of such offices only after obtaining prior approval of the Reserve Bank of India (RBI). Accordingly, it has been decided to issue guidelines with details of the criteria and procedure for submission of application by DCCBs for opening new place of business/installation of ATMs.</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2. The criteria for opening of branches/extension counters/specialized branches/regional offices/zonal offices/administrative offices/shifting of branches/upgradation of extension counters into full-fledged branches by a DCCB are as follows:</w:t>
      </w:r>
    </w:p>
    <w:p w:rsidR="0001090D" w:rsidRDefault="0001090D" w:rsidP="00DA1141">
      <w:pPr>
        <w:pStyle w:val="NormalWeb"/>
        <w:numPr>
          <w:ilvl w:val="0"/>
          <w:numId w:val="7"/>
        </w:numPr>
        <w:ind w:left="0"/>
        <w:jc w:val="both"/>
        <w:rPr>
          <w:rFonts w:ascii="Arial" w:hAnsi="Arial" w:cs="Arial"/>
          <w:color w:val="000000"/>
          <w:sz w:val="20"/>
          <w:szCs w:val="20"/>
        </w:rPr>
      </w:pPr>
      <w:r>
        <w:rPr>
          <w:rFonts w:ascii="Arial" w:hAnsi="Arial" w:cs="Arial"/>
          <w:color w:val="000000"/>
          <w:sz w:val="20"/>
          <w:szCs w:val="20"/>
        </w:rPr>
        <w:t>A licensed DCCB should have completed at least three years of operation</w:t>
      </w:r>
    </w:p>
    <w:p w:rsidR="0001090D" w:rsidRDefault="0001090D" w:rsidP="00DA1141">
      <w:pPr>
        <w:pStyle w:val="NormalWeb"/>
        <w:numPr>
          <w:ilvl w:val="0"/>
          <w:numId w:val="7"/>
        </w:numPr>
        <w:ind w:left="0"/>
        <w:jc w:val="both"/>
        <w:rPr>
          <w:rFonts w:ascii="Arial" w:hAnsi="Arial" w:cs="Arial"/>
          <w:color w:val="000000"/>
          <w:sz w:val="20"/>
          <w:szCs w:val="20"/>
        </w:rPr>
      </w:pPr>
      <w:r>
        <w:rPr>
          <w:rFonts w:ascii="Arial" w:hAnsi="Arial" w:cs="Arial"/>
          <w:color w:val="000000"/>
          <w:sz w:val="20"/>
          <w:szCs w:val="20"/>
        </w:rPr>
        <w:t>CRAR not being less than 9 per cent</w:t>
      </w:r>
    </w:p>
    <w:p w:rsidR="0001090D" w:rsidRDefault="0001090D" w:rsidP="00DA1141">
      <w:pPr>
        <w:pStyle w:val="NormalWeb"/>
        <w:numPr>
          <w:ilvl w:val="0"/>
          <w:numId w:val="7"/>
        </w:numPr>
        <w:ind w:left="0"/>
        <w:jc w:val="both"/>
        <w:rPr>
          <w:rFonts w:ascii="Arial" w:hAnsi="Arial" w:cs="Arial"/>
          <w:color w:val="000000"/>
          <w:sz w:val="20"/>
          <w:szCs w:val="20"/>
        </w:rPr>
      </w:pPr>
      <w:r>
        <w:rPr>
          <w:rFonts w:ascii="Arial" w:hAnsi="Arial" w:cs="Arial"/>
          <w:color w:val="000000"/>
          <w:sz w:val="20"/>
          <w:szCs w:val="20"/>
        </w:rPr>
        <w:t>No default in maintenance of CRR/SLR during the preceding financial year</w:t>
      </w:r>
    </w:p>
    <w:p w:rsidR="0001090D" w:rsidRDefault="0001090D" w:rsidP="00DA1141">
      <w:pPr>
        <w:pStyle w:val="NormalWeb"/>
        <w:numPr>
          <w:ilvl w:val="0"/>
          <w:numId w:val="7"/>
        </w:numPr>
        <w:ind w:left="0"/>
        <w:jc w:val="both"/>
        <w:rPr>
          <w:rFonts w:ascii="Arial" w:hAnsi="Arial" w:cs="Arial"/>
          <w:color w:val="000000"/>
          <w:sz w:val="20"/>
          <w:szCs w:val="20"/>
        </w:rPr>
      </w:pPr>
      <w:r>
        <w:rPr>
          <w:rFonts w:ascii="Arial" w:hAnsi="Arial" w:cs="Arial"/>
          <w:color w:val="000000"/>
          <w:sz w:val="20"/>
          <w:szCs w:val="20"/>
        </w:rPr>
        <w:t>Net NPA being less than 5 per cent</w:t>
      </w:r>
    </w:p>
    <w:p w:rsidR="0001090D" w:rsidRDefault="0001090D" w:rsidP="00DA1141">
      <w:pPr>
        <w:pStyle w:val="NormalWeb"/>
        <w:numPr>
          <w:ilvl w:val="0"/>
          <w:numId w:val="7"/>
        </w:numPr>
        <w:ind w:left="0"/>
        <w:jc w:val="both"/>
        <w:rPr>
          <w:rFonts w:ascii="Arial" w:hAnsi="Arial" w:cs="Arial"/>
          <w:color w:val="000000"/>
          <w:sz w:val="20"/>
          <w:szCs w:val="20"/>
        </w:rPr>
      </w:pPr>
      <w:r>
        <w:rPr>
          <w:rFonts w:ascii="Arial" w:hAnsi="Arial" w:cs="Arial"/>
          <w:color w:val="000000"/>
          <w:sz w:val="20"/>
          <w:szCs w:val="20"/>
        </w:rPr>
        <w:t>The bank should have made a net profit during the preceding two financial years</w:t>
      </w:r>
    </w:p>
    <w:p w:rsidR="0001090D" w:rsidRDefault="0001090D" w:rsidP="00DA1141">
      <w:pPr>
        <w:pStyle w:val="NormalWeb"/>
        <w:numPr>
          <w:ilvl w:val="0"/>
          <w:numId w:val="7"/>
        </w:numPr>
        <w:ind w:left="0"/>
        <w:jc w:val="both"/>
        <w:rPr>
          <w:rFonts w:ascii="Arial" w:hAnsi="Arial" w:cs="Arial"/>
          <w:color w:val="000000"/>
          <w:sz w:val="20"/>
          <w:szCs w:val="20"/>
        </w:rPr>
      </w:pPr>
      <w:r>
        <w:rPr>
          <w:rFonts w:ascii="Arial" w:hAnsi="Arial" w:cs="Arial"/>
          <w:color w:val="000000"/>
          <w:sz w:val="20"/>
          <w:szCs w:val="20"/>
        </w:rPr>
        <w:t>The bank should have a good track record of regulatory compliance and no monetary penalty should have been imposed on the bank for violation of Reserve Bank of India directives/guidelines during last two financial years</w:t>
      </w:r>
    </w:p>
    <w:p w:rsidR="0001090D" w:rsidRDefault="0001090D" w:rsidP="00DA1141">
      <w:pPr>
        <w:pStyle w:val="NormalWeb"/>
        <w:numPr>
          <w:ilvl w:val="0"/>
          <w:numId w:val="7"/>
        </w:numPr>
        <w:ind w:left="0"/>
        <w:jc w:val="both"/>
        <w:rPr>
          <w:rFonts w:ascii="Arial" w:hAnsi="Arial" w:cs="Arial"/>
          <w:color w:val="000000"/>
          <w:sz w:val="20"/>
          <w:szCs w:val="20"/>
        </w:rPr>
      </w:pPr>
      <w:r>
        <w:rPr>
          <w:rFonts w:ascii="Arial" w:hAnsi="Arial" w:cs="Arial"/>
          <w:color w:val="000000"/>
          <w:sz w:val="20"/>
          <w:szCs w:val="20"/>
        </w:rPr>
        <w:t>The bank should not have been placed under any specific direction issued by Reserve Bank of India during the preceding two financial years</w:t>
      </w:r>
    </w:p>
    <w:p w:rsidR="0001090D" w:rsidRDefault="0001090D" w:rsidP="0001090D">
      <w:pPr>
        <w:pStyle w:val="NormalWeb"/>
        <w:rPr>
          <w:rFonts w:ascii="Arial" w:hAnsi="Arial" w:cs="Arial"/>
          <w:color w:val="000000"/>
          <w:sz w:val="20"/>
          <w:szCs w:val="20"/>
        </w:rPr>
      </w:pPr>
      <w:r>
        <w:rPr>
          <w:rFonts w:ascii="Arial" w:hAnsi="Arial" w:cs="Arial"/>
          <w:color w:val="000000"/>
          <w:sz w:val="20"/>
          <w:szCs w:val="20"/>
        </w:rPr>
        <w:t>The above parameters will be considered as they appear in the latest inspection report of NABARD.</w:t>
      </w:r>
    </w:p>
    <w:p w:rsidR="0001090D" w:rsidRDefault="0001090D" w:rsidP="0001090D">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01090D" w:rsidRDefault="0001090D" w:rsidP="0001090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(Prakash </w:t>
      </w:r>
      <w:proofErr w:type="spellStart"/>
      <w:r>
        <w:rPr>
          <w:rFonts w:ascii="Arial" w:hAnsi="Arial" w:cs="Arial"/>
          <w:color w:val="000000"/>
          <w:sz w:val="20"/>
          <w:szCs w:val="20"/>
        </w:rPr>
        <w:t>Baliarsingh</w:t>
      </w:r>
      <w:proofErr w:type="spellEnd"/>
      <w:r>
        <w:rPr>
          <w:rFonts w:ascii="Arial" w:hAnsi="Arial" w:cs="Arial"/>
          <w:color w:val="000000"/>
          <w:sz w:val="20"/>
          <w:szCs w:val="20"/>
        </w:rPr>
        <w:t>)</w:t>
      </w:r>
      <w:r>
        <w:rPr>
          <w:rFonts w:ascii="Arial" w:hAnsi="Arial" w:cs="Arial"/>
          <w:color w:val="000000"/>
          <w:sz w:val="20"/>
          <w:szCs w:val="20"/>
        </w:rPr>
        <w:br/>
        <w:t>Chief General Manager</w:t>
      </w:r>
    </w:p>
    <w:p w:rsidR="0001090D" w:rsidRDefault="0001090D" w:rsidP="0001090D">
      <w:pPr>
        <w:rPr>
          <w:rFonts w:ascii="Arial" w:hAnsi="Arial" w:cs="Arial"/>
          <w:sz w:val="20"/>
          <w:szCs w:val="20"/>
        </w:rPr>
      </w:pPr>
    </w:p>
    <w:p w:rsidR="0001090D" w:rsidRDefault="0001090D" w:rsidP="0001090D">
      <w:pPr>
        <w:rPr>
          <w:rFonts w:ascii="Arial" w:hAnsi="Arial" w:cs="Arial"/>
          <w:sz w:val="20"/>
          <w:szCs w:val="20"/>
        </w:rPr>
      </w:pPr>
    </w:p>
    <w:p w:rsidR="0001090D" w:rsidRDefault="0001090D" w:rsidP="0001090D">
      <w:pPr>
        <w:rPr>
          <w:rFonts w:ascii="Arial" w:hAnsi="Arial" w:cs="Arial"/>
          <w:sz w:val="20"/>
          <w:szCs w:val="20"/>
        </w:rPr>
      </w:pPr>
    </w:p>
    <w:p w:rsidR="0001090D" w:rsidRDefault="0001090D" w:rsidP="0001090D">
      <w:pPr>
        <w:rPr>
          <w:rFonts w:ascii="Arial" w:hAnsi="Arial" w:cs="Arial"/>
          <w:sz w:val="20"/>
          <w:szCs w:val="20"/>
        </w:rPr>
      </w:pPr>
    </w:p>
    <w:p w:rsidR="0001090D" w:rsidRDefault="0001090D" w:rsidP="0001090D">
      <w:r>
        <w:t>More details can be referred to in the below link.</w:t>
      </w:r>
    </w:p>
    <w:p w:rsidR="0001090D" w:rsidRDefault="0001090D" w:rsidP="0001090D">
      <w:pPr>
        <w:rPr>
          <w:rFonts w:ascii="Arial" w:hAnsi="Arial" w:cs="Arial"/>
          <w:bCs/>
          <w:color w:val="000000"/>
          <w:sz w:val="20"/>
          <w:szCs w:val="20"/>
        </w:rPr>
      </w:pPr>
      <w:r>
        <w:rPr>
          <w:rFonts w:ascii="Arial" w:hAnsi="Arial" w:cs="Arial"/>
          <w:bCs/>
          <w:color w:val="000000"/>
          <w:sz w:val="20"/>
          <w:szCs w:val="20"/>
        </w:rPr>
        <w:t xml:space="preserve">Reference Link: </w:t>
      </w:r>
      <w:hyperlink r:id="rId64" w:history="1">
        <w:r w:rsidRPr="00735218">
          <w:rPr>
            <w:rStyle w:val="Hyperlink"/>
            <w:rFonts w:ascii="Arial" w:hAnsi="Arial" w:cs="Arial"/>
            <w:bCs/>
            <w:sz w:val="20"/>
            <w:szCs w:val="20"/>
          </w:rPr>
          <w:t>https://www.rbi.org.in/scripts/NotificationUser.aspx?Id=12375&amp;Mode=0</w:t>
        </w:r>
      </w:hyperlink>
    </w:p>
    <w:p w:rsidR="0001090D" w:rsidRDefault="0001090D" w:rsidP="0001090D">
      <w:pPr>
        <w:rPr>
          <w:rFonts w:ascii="Arial" w:hAnsi="Arial" w:cs="Arial"/>
          <w:sz w:val="20"/>
          <w:szCs w:val="20"/>
        </w:rPr>
      </w:pPr>
    </w:p>
    <w:p w:rsidR="0001090D" w:rsidRDefault="0001090D" w:rsidP="0001090D">
      <w:pPr>
        <w:rPr>
          <w:rFonts w:ascii="Arial" w:hAnsi="Arial" w:cs="Arial"/>
          <w:sz w:val="20"/>
          <w:szCs w:val="20"/>
        </w:rPr>
      </w:pPr>
    </w:p>
    <w:p w:rsidR="00BA0C06" w:rsidRDefault="00BA0C06" w:rsidP="00BA0C06">
      <w:pPr>
        <w:rPr>
          <w:rFonts w:ascii="Arial" w:hAnsi="Arial" w:cs="Arial"/>
          <w:bCs/>
          <w:color w:val="000000"/>
          <w:sz w:val="20"/>
          <w:szCs w:val="20"/>
        </w:rPr>
      </w:pPr>
    </w:p>
    <w:p w:rsidR="0001090D" w:rsidRDefault="0001090D" w:rsidP="00BA0C06">
      <w:pPr>
        <w:rPr>
          <w:rFonts w:ascii="Arial" w:hAnsi="Arial" w:cs="Arial"/>
          <w:bCs/>
          <w:color w:val="000000"/>
          <w:sz w:val="20"/>
          <w:szCs w:val="20"/>
        </w:rPr>
      </w:pPr>
    </w:p>
    <w:p w:rsidR="0001090D" w:rsidRDefault="0001090D" w:rsidP="00BA0C06">
      <w:pPr>
        <w:rPr>
          <w:rFonts w:ascii="Arial" w:hAnsi="Arial" w:cs="Arial"/>
          <w:bCs/>
          <w:color w:val="000000"/>
          <w:sz w:val="20"/>
          <w:szCs w:val="20"/>
        </w:rPr>
      </w:pPr>
    </w:p>
    <w:p w:rsidR="0001090D" w:rsidRDefault="0001090D" w:rsidP="0001090D">
      <w:pPr>
        <w:rPr>
          <w:rFonts w:ascii="Arial" w:hAnsi="Arial" w:cs="Arial"/>
          <w:b/>
          <w:bCs/>
          <w:color w:val="000000"/>
          <w:sz w:val="20"/>
          <w:szCs w:val="20"/>
        </w:rPr>
      </w:pPr>
      <w:r>
        <w:rPr>
          <w:rFonts w:ascii="Arial" w:hAnsi="Arial" w:cs="Arial"/>
          <w:b/>
          <w:bCs/>
          <w:color w:val="000000"/>
          <w:sz w:val="20"/>
          <w:szCs w:val="20"/>
        </w:rPr>
        <w:t>Bilateral Netting of Qualified Financial Contracts - Amendments to Prudential Guidelines</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RBI/2022-23/107</w:t>
      </w:r>
      <w:r>
        <w:rPr>
          <w:rFonts w:ascii="Arial" w:hAnsi="Arial" w:cs="Arial"/>
          <w:color w:val="000000"/>
          <w:sz w:val="20"/>
          <w:szCs w:val="20"/>
        </w:rPr>
        <w:br/>
        <w:t>DOR.MRG.REC.64/00-00-005/2022-23</w:t>
      </w:r>
    </w:p>
    <w:p w:rsidR="0001090D" w:rsidRDefault="0001090D" w:rsidP="0001090D">
      <w:pPr>
        <w:pStyle w:val="NormalWeb"/>
        <w:jc w:val="right"/>
        <w:rPr>
          <w:rFonts w:ascii="Arial" w:hAnsi="Arial" w:cs="Arial"/>
          <w:color w:val="000000"/>
          <w:sz w:val="20"/>
          <w:szCs w:val="20"/>
        </w:rPr>
      </w:pPr>
      <w:r>
        <w:rPr>
          <w:rFonts w:ascii="Arial" w:hAnsi="Arial" w:cs="Arial"/>
          <w:color w:val="000000"/>
          <w:sz w:val="20"/>
          <w:szCs w:val="20"/>
        </w:rPr>
        <w:t>August 11, 2022</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Dear Sir / Madam,</w:t>
      </w:r>
    </w:p>
    <w:p w:rsidR="0001090D" w:rsidRDefault="0001090D" w:rsidP="0001090D">
      <w:pPr>
        <w:pStyle w:val="head"/>
        <w:jc w:val="both"/>
        <w:rPr>
          <w:rFonts w:ascii="Arial" w:hAnsi="Arial" w:cs="Arial"/>
          <w:b/>
          <w:bCs/>
          <w:color w:val="000000"/>
          <w:sz w:val="20"/>
          <w:szCs w:val="20"/>
        </w:rPr>
      </w:pPr>
      <w:r>
        <w:rPr>
          <w:rFonts w:ascii="Arial" w:hAnsi="Arial" w:cs="Arial"/>
          <w:b/>
          <w:bCs/>
          <w:color w:val="000000"/>
          <w:sz w:val="20"/>
          <w:szCs w:val="20"/>
        </w:rPr>
        <w:t>Bilateral Netting of Qualified Financial Contracts - Amendments to Prudential Guidelines</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65" w:tgtFrame="_blank" w:history="1">
        <w:r>
          <w:rPr>
            <w:rStyle w:val="Hyperlink"/>
            <w:rFonts w:ascii="Arial" w:hAnsi="Arial" w:cs="Arial"/>
            <w:sz w:val="20"/>
            <w:szCs w:val="20"/>
          </w:rPr>
          <w:t>circular DOR.CAP.51/21.06.201/2020-21 dated March 30, 2021</w:t>
        </w:r>
      </w:hyperlink>
      <w:r>
        <w:rPr>
          <w:rFonts w:ascii="Arial" w:hAnsi="Arial" w:cs="Arial"/>
          <w:color w:val="000000"/>
          <w:sz w:val="20"/>
          <w:szCs w:val="20"/>
        </w:rPr>
        <w:t> and </w:t>
      </w:r>
      <w:hyperlink r:id="rId66" w:tgtFrame="_blank" w:history="1">
        <w:r>
          <w:rPr>
            <w:rStyle w:val="Hyperlink"/>
            <w:rFonts w:ascii="Arial" w:hAnsi="Arial" w:cs="Arial"/>
            <w:sz w:val="20"/>
            <w:szCs w:val="20"/>
          </w:rPr>
          <w:t>circular DOR.CAP.REC.No.97/21.06.201/2021-22 dated March 31, 2022</w:t>
        </w:r>
      </w:hyperlink>
      <w:r>
        <w:rPr>
          <w:rFonts w:ascii="Arial" w:hAnsi="Arial" w:cs="Arial"/>
          <w:color w:val="000000"/>
          <w:sz w:val="20"/>
          <w:szCs w:val="20"/>
        </w:rPr>
        <w:t> on the captioned subject.</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2. At present, while computing capital requirements for counterparty credit risk, the following exposures, wherever allowed to be undertaken, are exempted or capped:</w:t>
      </w:r>
    </w:p>
    <w:p w:rsidR="0001090D" w:rsidRDefault="0001090D" w:rsidP="00DA1141">
      <w:pPr>
        <w:pStyle w:val="NormalWeb"/>
        <w:numPr>
          <w:ilvl w:val="0"/>
          <w:numId w:val="8"/>
        </w:numPr>
        <w:ind w:left="0"/>
        <w:jc w:val="both"/>
        <w:rPr>
          <w:rFonts w:ascii="Arial" w:hAnsi="Arial" w:cs="Arial"/>
          <w:color w:val="000000"/>
          <w:sz w:val="20"/>
          <w:szCs w:val="20"/>
        </w:rPr>
      </w:pPr>
      <w:r>
        <w:rPr>
          <w:rFonts w:ascii="Arial" w:hAnsi="Arial" w:cs="Arial"/>
          <w:color w:val="000000"/>
          <w:sz w:val="20"/>
          <w:szCs w:val="20"/>
        </w:rPr>
        <w:t>foreign exchange (except gold) contracts which have an original maturity of 14 calendar days or less are excluded from capital requirements for counterparty credit risk.</w:t>
      </w:r>
    </w:p>
    <w:p w:rsidR="0001090D" w:rsidRDefault="0001090D" w:rsidP="00DA1141">
      <w:pPr>
        <w:pStyle w:val="NormalWeb"/>
        <w:numPr>
          <w:ilvl w:val="0"/>
          <w:numId w:val="8"/>
        </w:numPr>
        <w:ind w:left="0"/>
        <w:jc w:val="both"/>
        <w:rPr>
          <w:rFonts w:ascii="Arial" w:hAnsi="Arial" w:cs="Arial"/>
          <w:color w:val="000000"/>
          <w:sz w:val="20"/>
          <w:szCs w:val="20"/>
        </w:rPr>
      </w:pPr>
      <w:r>
        <w:rPr>
          <w:rFonts w:ascii="Arial" w:hAnsi="Arial" w:cs="Arial"/>
          <w:color w:val="000000"/>
          <w:sz w:val="20"/>
          <w:szCs w:val="20"/>
        </w:rPr>
        <w:t>‘sold options’, provided the entire premium / fee or any other form of income is received / realised, are excluded from capital requirements for counterparty credit risk.</w:t>
      </w:r>
    </w:p>
    <w:p w:rsidR="0001090D" w:rsidRDefault="0001090D" w:rsidP="00DA1141">
      <w:pPr>
        <w:pStyle w:val="NormalWeb"/>
        <w:numPr>
          <w:ilvl w:val="0"/>
          <w:numId w:val="8"/>
        </w:numPr>
        <w:ind w:left="0"/>
        <w:jc w:val="both"/>
        <w:rPr>
          <w:rFonts w:ascii="Arial" w:hAnsi="Arial" w:cs="Arial"/>
          <w:color w:val="000000"/>
          <w:sz w:val="20"/>
          <w:szCs w:val="20"/>
        </w:rPr>
      </w:pPr>
      <w:r>
        <w:rPr>
          <w:rFonts w:ascii="Arial" w:hAnsi="Arial" w:cs="Arial"/>
          <w:color w:val="000000"/>
          <w:sz w:val="20"/>
          <w:szCs w:val="20"/>
        </w:rPr>
        <w:t>For Credit Default Swap transaction where bank is protection seller, the exposure is capped at the amount of premium unpaid by the protection buyer.</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3. We have received queries from regulated entities (REs) regarding the applicability of the above exemptions / caps under the Bilateral Netting framework. In this connection, it is clarified that:</w:t>
      </w:r>
    </w:p>
    <w:p w:rsidR="0001090D" w:rsidRDefault="0001090D" w:rsidP="00DA1141">
      <w:pPr>
        <w:pStyle w:val="NormalWeb"/>
        <w:numPr>
          <w:ilvl w:val="0"/>
          <w:numId w:val="9"/>
        </w:numPr>
        <w:ind w:left="0"/>
        <w:jc w:val="both"/>
        <w:rPr>
          <w:rFonts w:ascii="Arial" w:hAnsi="Arial" w:cs="Arial"/>
          <w:color w:val="000000"/>
          <w:sz w:val="20"/>
          <w:szCs w:val="20"/>
        </w:rPr>
      </w:pPr>
      <w:r>
        <w:rPr>
          <w:rFonts w:ascii="Arial" w:hAnsi="Arial" w:cs="Arial"/>
          <w:color w:val="000000"/>
          <w:sz w:val="20"/>
          <w:szCs w:val="20"/>
        </w:rPr>
        <w:t>the exemption for foreign exchange (except gold) contracts which have an original maturity of 14 calendar days or less shall be applicable to entities calculating the counterparty credit risk under Original Exposure Method without taking the benefit of bilateral netting. Accordingly, the exemption would be applicable only to Regional Rural Banks, Local Area Banks and Co-operative Banks, where the bank has not adopted the bilateral netting framework. For other entities, the exemption shall stand withdrawn.</w:t>
      </w:r>
    </w:p>
    <w:p w:rsidR="0001090D" w:rsidRDefault="0001090D" w:rsidP="00DA1141">
      <w:pPr>
        <w:pStyle w:val="NormalWeb"/>
        <w:numPr>
          <w:ilvl w:val="0"/>
          <w:numId w:val="9"/>
        </w:numPr>
        <w:ind w:left="0"/>
        <w:jc w:val="both"/>
        <w:rPr>
          <w:rFonts w:ascii="Arial" w:hAnsi="Arial" w:cs="Arial"/>
          <w:color w:val="000000"/>
          <w:sz w:val="20"/>
          <w:szCs w:val="20"/>
        </w:rPr>
      </w:pPr>
      <w:r>
        <w:rPr>
          <w:rFonts w:ascii="Arial" w:hAnsi="Arial" w:cs="Arial"/>
          <w:color w:val="000000"/>
          <w:sz w:val="20"/>
          <w:szCs w:val="20"/>
        </w:rPr>
        <w:t>‘sold options’, provided the entire premium / fee or any other form of income is received / realised, can be excluded only when such ‘sold options’ are outside the netting and margin agreements.</w:t>
      </w:r>
    </w:p>
    <w:p w:rsidR="0001090D" w:rsidRDefault="0001090D" w:rsidP="00DA1141">
      <w:pPr>
        <w:pStyle w:val="NormalWeb"/>
        <w:numPr>
          <w:ilvl w:val="0"/>
          <w:numId w:val="9"/>
        </w:numPr>
        <w:ind w:left="0"/>
        <w:jc w:val="both"/>
        <w:rPr>
          <w:rFonts w:ascii="Arial" w:hAnsi="Arial" w:cs="Arial"/>
          <w:color w:val="000000"/>
          <w:sz w:val="20"/>
          <w:szCs w:val="20"/>
        </w:rPr>
      </w:pPr>
      <w:r>
        <w:rPr>
          <w:rFonts w:ascii="Arial" w:hAnsi="Arial" w:cs="Arial"/>
          <w:color w:val="000000"/>
          <w:sz w:val="20"/>
          <w:szCs w:val="20"/>
        </w:rPr>
        <w:t>For Credit Default Swaps where the bank is the protection seller and that are outside netting and margin agreements, the exposure may be capped to the amount of premium unpaid. Banks have the option to remove such credit derivatives from their legal netting sets in order to apply the cap.</w:t>
      </w:r>
    </w:p>
    <w:p w:rsidR="0001090D" w:rsidRDefault="0001090D" w:rsidP="0001090D">
      <w:pPr>
        <w:pStyle w:val="NormalWeb"/>
        <w:rPr>
          <w:rFonts w:ascii="Arial" w:hAnsi="Arial" w:cs="Arial"/>
          <w:color w:val="000000"/>
          <w:sz w:val="20"/>
          <w:szCs w:val="20"/>
        </w:rPr>
      </w:pPr>
      <w:r>
        <w:rPr>
          <w:rFonts w:ascii="Arial" w:hAnsi="Arial" w:cs="Arial"/>
          <w:color w:val="000000"/>
          <w:sz w:val="20"/>
          <w:szCs w:val="20"/>
        </w:rPr>
        <w:t>Yours faithfully,</w:t>
      </w:r>
      <w:r>
        <w:rPr>
          <w:rFonts w:ascii="Arial" w:hAnsi="Arial" w:cs="Arial"/>
          <w:color w:val="000000"/>
          <w:sz w:val="20"/>
          <w:szCs w:val="20"/>
        </w:rPr>
        <w:b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01090D" w:rsidRDefault="0001090D" w:rsidP="0001090D">
      <w:pPr>
        <w:rPr>
          <w:rFonts w:ascii="Arial" w:hAnsi="Arial" w:cs="Arial"/>
          <w:sz w:val="20"/>
          <w:szCs w:val="20"/>
        </w:rPr>
      </w:pPr>
    </w:p>
    <w:p w:rsidR="0001090D" w:rsidRDefault="0001090D" w:rsidP="0001090D">
      <w:pPr>
        <w:rPr>
          <w:rFonts w:ascii="Arial" w:hAnsi="Arial" w:cs="Arial"/>
          <w:sz w:val="20"/>
          <w:szCs w:val="20"/>
        </w:rPr>
      </w:pPr>
    </w:p>
    <w:p w:rsidR="0001090D" w:rsidRDefault="0001090D" w:rsidP="0001090D">
      <w:pPr>
        <w:rPr>
          <w:rFonts w:ascii="Arial" w:hAnsi="Arial" w:cs="Arial"/>
          <w:sz w:val="20"/>
          <w:szCs w:val="20"/>
        </w:rPr>
      </w:pPr>
    </w:p>
    <w:p w:rsidR="0001090D" w:rsidRDefault="0001090D" w:rsidP="0001090D">
      <w:pPr>
        <w:rPr>
          <w:rFonts w:ascii="Arial" w:hAnsi="Arial" w:cs="Arial"/>
          <w:sz w:val="20"/>
          <w:szCs w:val="20"/>
        </w:rPr>
      </w:pPr>
    </w:p>
    <w:p w:rsidR="0001090D" w:rsidRDefault="0001090D" w:rsidP="0001090D">
      <w:pPr>
        <w:rPr>
          <w:rFonts w:ascii="Arial" w:hAnsi="Arial" w:cs="Arial"/>
          <w:sz w:val="20"/>
          <w:szCs w:val="20"/>
        </w:rPr>
      </w:pPr>
    </w:p>
    <w:p w:rsidR="0001090D" w:rsidRDefault="0001090D" w:rsidP="0001090D">
      <w:r>
        <w:t>More details can be referred to in the below link.</w:t>
      </w:r>
    </w:p>
    <w:p w:rsidR="0001090D" w:rsidRDefault="0001090D" w:rsidP="0001090D">
      <w:pPr>
        <w:rPr>
          <w:rFonts w:ascii="Arial" w:hAnsi="Arial" w:cs="Arial"/>
          <w:bCs/>
          <w:color w:val="000000"/>
          <w:sz w:val="20"/>
          <w:szCs w:val="20"/>
        </w:rPr>
      </w:pPr>
      <w:r>
        <w:rPr>
          <w:rFonts w:ascii="Arial" w:hAnsi="Arial" w:cs="Arial"/>
          <w:bCs/>
          <w:color w:val="000000"/>
          <w:sz w:val="20"/>
          <w:szCs w:val="20"/>
        </w:rPr>
        <w:t xml:space="preserve">Reference Link: </w:t>
      </w:r>
      <w:hyperlink r:id="rId67" w:history="1">
        <w:r w:rsidRPr="00735218">
          <w:rPr>
            <w:rStyle w:val="Hyperlink"/>
            <w:rFonts w:ascii="Arial" w:hAnsi="Arial" w:cs="Arial"/>
            <w:bCs/>
            <w:sz w:val="20"/>
            <w:szCs w:val="20"/>
          </w:rPr>
          <w:t>https://www.rbi.org.in/Scripts/NotificationUser.aspx?Id=12376&amp;Mode=0</w:t>
        </w:r>
      </w:hyperlink>
    </w:p>
    <w:p w:rsidR="0001090D" w:rsidRDefault="0001090D" w:rsidP="0001090D">
      <w:pPr>
        <w:rPr>
          <w:rFonts w:ascii="Arial" w:hAnsi="Arial" w:cs="Arial"/>
          <w:sz w:val="20"/>
          <w:szCs w:val="20"/>
        </w:rPr>
      </w:pPr>
    </w:p>
    <w:p w:rsidR="0001090D" w:rsidRDefault="0001090D" w:rsidP="0001090D">
      <w:pPr>
        <w:rPr>
          <w:rFonts w:ascii="Arial" w:hAnsi="Arial" w:cs="Arial"/>
          <w:b/>
          <w:bCs/>
          <w:color w:val="000000"/>
          <w:sz w:val="20"/>
          <w:szCs w:val="20"/>
        </w:rPr>
      </w:pPr>
      <w:r>
        <w:rPr>
          <w:rFonts w:ascii="Arial" w:hAnsi="Arial" w:cs="Arial"/>
          <w:b/>
          <w:bCs/>
          <w:color w:val="000000"/>
          <w:sz w:val="20"/>
          <w:szCs w:val="20"/>
        </w:rPr>
        <w:t>Outsourcing of Financial Services - Responsibilities of regulated entities employing Recovery Agents</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RBI/2022-23/108</w:t>
      </w:r>
      <w:r>
        <w:rPr>
          <w:rFonts w:ascii="Arial" w:hAnsi="Arial" w:cs="Arial"/>
          <w:color w:val="000000"/>
          <w:sz w:val="20"/>
          <w:szCs w:val="20"/>
        </w:rPr>
        <w:br/>
        <w:t>DOR.ORG.REC.65/21.04.158/2022-23</w:t>
      </w:r>
    </w:p>
    <w:p w:rsidR="0001090D" w:rsidRDefault="0001090D" w:rsidP="0001090D">
      <w:pPr>
        <w:pStyle w:val="NormalWeb"/>
        <w:jc w:val="right"/>
        <w:rPr>
          <w:rFonts w:ascii="Arial" w:hAnsi="Arial" w:cs="Arial"/>
          <w:color w:val="000000"/>
          <w:sz w:val="20"/>
          <w:szCs w:val="20"/>
        </w:rPr>
      </w:pPr>
      <w:r>
        <w:rPr>
          <w:rFonts w:ascii="Arial" w:hAnsi="Arial" w:cs="Arial"/>
          <w:color w:val="000000"/>
          <w:sz w:val="20"/>
          <w:szCs w:val="20"/>
        </w:rPr>
        <w:t>August 12, 2022</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Madam/ Sir,</w:t>
      </w:r>
    </w:p>
    <w:p w:rsidR="0001090D" w:rsidRDefault="0001090D" w:rsidP="0001090D">
      <w:pPr>
        <w:pStyle w:val="head"/>
        <w:rPr>
          <w:rFonts w:ascii="Arial" w:hAnsi="Arial" w:cs="Arial"/>
          <w:b/>
          <w:bCs/>
          <w:color w:val="000000"/>
          <w:sz w:val="20"/>
          <w:szCs w:val="20"/>
        </w:rPr>
      </w:pPr>
      <w:r>
        <w:rPr>
          <w:rFonts w:ascii="Arial" w:hAnsi="Arial" w:cs="Arial"/>
          <w:b/>
          <w:bCs/>
          <w:color w:val="000000"/>
          <w:sz w:val="20"/>
          <w:szCs w:val="20"/>
        </w:rPr>
        <w:t>Outsourcing of Financial Services - Responsibilities of regulated entities employing Recovery Agents</w:t>
      </w:r>
    </w:p>
    <w:p w:rsidR="0001090D" w:rsidRDefault="0001090D" w:rsidP="0001090D">
      <w:pPr>
        <w:pStyle w:val="NormalWeb"/>
        <w:rPr>
          <w:rFonts w:ascii="Arial" w:hAnsi="Arial" w:cs="Arial"/>
          <w:color w:val="000000"/>
          <w:sz w:val="20"/>
          <w:szCs w:val="20"/>
        </w:rPr>
      </w:pPr>
      <w:r>
        <w:rPr>
          <w:rFonts w:ascii="Arial" w:hAnsi="Arial" w:cs="Arial"/>
          <w:color w:val="000000"/>
          <w:sz w:val="20"/>
          <w:szCs w:val="20"/>
        </w:rPr>
        <w:t>The Reserve Bank of India has from time to time advised regulated entities (REs) that the ultimate responsibility for their outsourced activities vests with them and they are, therefore, responsible for the actions of their service providers including Recovery Agents (hereafter referred to as ‘agents’).</w:t>
      </w:r>
    </w:p>
    <w:p w:rsidR="0001090D" w:rsidRDefault="0001090D" w:rsidP="0001090D">
      <w:pPr>
        <w:pStyle w:val="NormalWeb"/>
        <w:rPr>
          <w:rFonts w:ascii="Arial" w:hAnsi="Arial" w:cs="Arial"/>
          <w:color w:val="000000"/>
          <w:sz w:val="20"/>
          <w:szCs w:val="20"/>
        </w:rPr>
      </w:pPr>
      <w:r>
        <w:rPr>
          <w:rFonts w:ascii="Arial" w:hAnsi="Arial" w:cs="Arial"/>
          <w:color w:val="000000"/>
          <w:sz w:val="20"/>
          <w:szCs w:val="20"/>
        </w:rPr>
        <w:t>2. It has been observed that the agents employed by REs have been deviating from the extant instructions governing the outsourcing of financial services. In view of concerns arising from the activities of these agents, it is advised that the REs shall strictly ensure that they or their agents do not resort to intimidation or harassment of any kind, either verbal or physical, against any person in their debt collection efforts, including acts intended to humiliate publicly or intrude upon the privacy of the debtors' family members, referees and friends, sending inappropriate messages either on mobile or through social media, making threatening and/ or anonymous calls, persistently</w:t>
      </w:r>
      <w:hyperlink r:id="rId68" w:anchor="F1" w:history="1">
        <w:r>
          <w:rPr>
            <w:rStyle w:val="Hyperlink"/>
            <w:rFonts w:ascii="Arial" w:hAnsi="Arial" w:cs="Arial"/>
            <w:sz w:val="15"/>
            <w:szCs w:val="15"/>
            <w:vertAlign w:val="superscript"/>
          </w:rPr>
          <w:t>1</w:t>
        </w:r>
      </w:hyperlink>
      <w:r>
        <w:rPr>
          <w:rFonts w:ascii="Arial" w:hAnsi="Arial" w:cs="Arial"/>
          <w:color w:val="000000"/>
          <w:sz w:val="20"/>
          <w:szCs w:val="20"/>
        </w:rPr>
        <w:t> calling the borrower and/ or calling the borrower before 8:00 a.m. and after 7:00 p.m. for recovery of overdue loans, making false and misleading representations, etc.</w:t>
      </w:r>
    </w:p>
    <w:p w:rsidR="0001090D" w:rsidRDefault="0001090D" w:rsidP="0001090D">
      <w:pPr>
        <w:pStyle w:val="NormalWeb"/>
        <w:rPr>
          <w:rFonts w:ascii="Arial" w:hAnsi="Arial" w:cs="Arial"/>
          <w:color w:val="000000"/>
          <w:sz w:val="20"/>
          <w:szCs w:val="20"/>
        </w:rPr>
      </w:pPr>
      <w:r>
        <w:rPr>
          <w:rFonts w:ascii="Arial" w:hAnsi="Arial" w:cs="Arial"/>
          <w:color w:val="000000"/>
          <w:sz w:val="20"/>
          <w:szCs w:val="20"/>
        </w:rPr>
        <w:t>3. The instructions contained in para 2 above shall supplement and be read in conjunction with the existing guidelines/directions issued by the Reserve Bank of India, as amended from time to time, including those tabulated in </w:t>
      </w:r>
      <w:hyperlink r:id="rId69" w:anchor="AN" w:history="1">
        <w:r>
          <w:rPr>
            <w:rStyle w:val="Hyperlink"/>
            <w:rFonts w:ascii="Arial" w:hAnsi="Arial" w:cs="Arial"/>
            <w:sz w:val="20"/>
            <w:szCs w:val="20"/>
          </w:rPr>
          <w:t>Annex</w:t>
        </w:r>
      </w:hyperlink>
      <w:r>
        <w:rPr>
          <w:rFonts w:ascii="Arial" w:hAnsi="Arial" w:cs="Arial"/>
          <w:color w:val="000000"/>
          <w:sz w:val="20"/>
          <w:szCs w:val="20"/>
        </w:rPr>
        <w:t>.</w:t>
      </w:r>
    </w:p>
    <w:p w:rsidR="0001090D" w:rsidRDefault="0001090D" w:rsidP="0001090D">
      <w:pPr>
        <w:pStyle w:val="NormalWeb"/>
        <w:rPr>
          <w:rFonts w:ascii="Arial" w:hAnsi="Arial" w:cs="Arial"/>
          <w:color w:val="000000"/>
          <w:sz w:val="20"/>
          <w:szCs w:val="20"/>
        </w:rPr>
      </w:pPr>
      <w:r>
        <w:rPr>
          <w:rFonts w:ascii="Arial" w:hAnsi="Arial" w:cs="Arial"/>
          <w:color w:val="000000"/>
          <w:sz w:val="20"/>
          <w:szCs w:val="20"/>
        </w:rPr>
        <w:t>4. Any violation in this regard by REs will be viewed seriously.</w:t>
      </w:r>
    </w:p>
    <w:p w:rsidR="0001090D" w:rsidRDefault="0001090D" w:rsidP="0001090D">
      <w:pPr>
        <w:pStyle w:val="head"/>
        <w:rPr>
          <w:rFonts w:ascii="Arial" w:hAnsi="Arial" w:cs="Arial"/>
          <w:b/>
          <w:bCs/>
          <w:color w:val="000000"/>
          <w:sz w:val="20"/>
          <w:szCs w:val="20"/>
        </w:rPr>
      </w:pPr>
      <w:r>
        <w:rPr>
          <w:rFonts w:ascii="Arial" w:hAnsi="Arial" w:cs="Arial"/>
          <w:b/>
          <w:bCs/>
          <w:color w:val="000000"/>
          <w:sz w:val="20"/>
          <w:szCs w:val="20"/>
        </w:rPr>
        <w:t>Applicability</w:t>
      </w:r>
    </w:p>
    <w:p w:rsidR="0001090D" w:rsidRDefault="0001090D" w:rsidP="0001090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5. This circular shall apply to the following REs:</w:t>
      </w:r>
    </w:p>
    <w:p w:rsidR="0001090D" w:rsidRDefault="0001090D" w:rsidP="00DA1141">
      <w:pPr>
        <w:pStyle w:val="NormalWeb"/>
        <w:numPr>
          <w:ilvl w:val="0"/>
          <w:numId w:val="10"/>
        </w:numPr>
        <w:spacing w:before="0" w:beforeAutospacing="0"/>
        <w:ind w:left="0"/>
        <w:rPr>
          <w:rFonts w:ascii="Arial" w:hAnsi="Arial" w:cs="Arial"/>
          <w:color w:val="000000"/>
          <w:sz w:val="20"/>
          <w:szCs w:val="20"/>
        </w:rPr>
      </w:pPr>
      <w:r>
        <w:rPr>
          <w:rFonts w:ascii="Arial" w:hAnsi="Arial" w:cs="Arial"/>
          <w:color w:val="000000"/>
          <w:sz w:val="20"/>
          <w:szCs w:val="20"/>
        </w:rPr>
        <w:t>All Commercial Banks (including Local Area Banks, Regional Rural Banks, and Small Finance Banks) excluding Payments Banks;</w:t>
      </w:r>
    </w:p>
    <w:p w:rsidR="0001090D" w:rsidRDefault="0001090D" w:rsidP="00DA1141">
      <w:pPr>
        <w:pStyle w:val="NormalWeb"/>
        <w:numPr>
          <w:ilvl w:val="0"/>
          <w:numId w:val="10"/>
        </w:numPr>
        <w:ind w:left="0"/>
        <w:rPr>
          <w:rFonts w:ascii="Arial" w:hAnsi="Arial" w:cs="Arial"/>
          <w:color w:val="000000"/>
          <w:sz w:val="20"/>
          <w:szCs w:val="20"/>
        </w:rPr>
      </w:pPr>
      <w:r>
        <w:rPr>
          <w:rFonts w:ascii="Arial" w:hAnsi="Arial" w:cs="Arial"/>
          <w:color w:val="000000"/>
          <w:sz w:val="20"/>
          <w:szCs w:val="20"/>
        </w:rPr>
        <w:t xml:space="preserve">All All-India Financial Institutions (viz. Exim Bank, NABARD, NHB, SIDBI, and </w:t>
      </w:r>
      <w:proofErr w:type="spellStart"/>
      <w:r>
        <w:rPr>
          <w:rFonts w:ascii="Arial" w:hAnsi="Arial" w:cs="Arial"/>
          <w:color w:val="000000"/>
          <w:sz w:val="20"/>
          <w:szCs w:val="20"/>
        </w:rPr>
        <w:t>NaBFID</w:t>
      </w:r>
      <w:proofErr w:type="spellEnd"/>
      <w:r>
        <w:rPr>
          <w:rFonts w:ascii="Arial" w:hAnsi="Arial" w:cs="Arial"/>
          <w:color w:val="000000"/>
          <w:sz w:val="20"/>
          <w:szCs w:val="20"/>
        </w:rPr>
        <w:t>);</w:t>
      </w:r>
    </w:p>
    <w:p w:rsidR="0001090D" w:rsidRDefault="0001090D" w:rsidP="00DA1141">
      <w:pPr>
        <w:pStyle w:val="NormalWeb"/>
        <w:numPr>
          <w:ilvl w:val="0"/>
          <w:numId w:val="10"/>
        </w:numPr>
        <w:ind w:left="0"/>
        <w:rPr>
          <w:rFonts w:ascii="Arial" w:hAnsi="Arial" w:cs="Arial"/>
          <w:color w:val="000000"/>
          <w:sz w:val="20"/>
          <w:szCs w:val="20"/>
        </w:rPr>
      </w:pPr>
      <w:r>
        <w:rPr>
          <w:rFonts w:ascii="Arial" w:hAnsi="Arial" w:cs="Arial"/>
          <w:color w:val="000000"/>
          <w:sz w:val="20"/>
          <w:szCs w:val="20"/>
        </w:rPr>
        <w:t>All Non-Banking Financial Companies including Housing Finance Companies;</w:t>
      </w:r>
    </w:p>
    <w:p w:rsidR="0001090D" w:rsidRDefault="0001090D" w:rsidP="00DA1141">
      <w:pPr>
        <w:pStyle w:val="NormalWeb"/>
        <w:numPr>
          <w:ilvl w:val="0"/>
          <w:numId w:val="10"/>
        </w:numPr>
        <w:ind w:left="0"/>
        <w:rPr>
          <w:rFonts w:ascii="Arial" w:hAnsi="Arial" w:cs="Arial"/>
          <w:color w:val="000000"/>
          <w:sz w:val="20"/>
          <w:szCs w:val="20"/>
        </w:rPr>
      </w:pPr>
      <w:r>
        <w:rPr>
          <w:rFonts w:ascii="Arial" w:hAnsi="Arial" w:cs="Arial"/>
          <w:color w:val="000000"/>
          <w:sz w:val="20"/>
          <w:szCs w:val="20"/>
        </w:rPr>
        <w:t>All Primary (Urban) Co-operative Banks, State Co-operative Banks, and District Central Co-operative Banks; and</w:t>
      </w:r>
    </w:p>
    <w:p w:rsidR="0001090D" w:rsidRDefault="0001090D" w:rsidP="00DA1141">
      <w:pPr>
        <w:pStyle w:val="NormalWeb"/>
        <w:numPr>
          <w:ilvl w:val="0"/>
          <w:numId w:val="10"/>
        </w:numPr>
        <w:ind w:left="0"/>
        <w:rPr>
          <w:rFonts w:ascii="Arial" w:hAnsi="Arial" w:cs="Arial"/>
          <w:color w:val="000000"/>
          <w:sz w:val="20"/>
          <w:szCs w:val="20"/>
        </w:rPr>
      </w:pPr>
      <w:r>
        <w:rPr>
          <w:rFonts w:ascii="Arial" w:hAnsi="Arial" w:cs="Arial"/>
          <w:color w:val="000000"/>
          <w:sz w:val="20"/>
          <w:szCs w:val="20"/>
        </w:rPr>
        <w:t>All Asset Reconstruction Companies.</w:t>
      </w:r>
    </w:p>
    <w:p w:rsidR="0001090D" w:rsidRDefault="0001090D" w:rsidP="0001090D">
      <w:pPr>
        <w:pStyle w:val="NormalWeb"/>
        <w:rPr>
          <w:rFonts w:ascii="Arial" w:hAnsi="Arial" w:cs="Arial"/>
          <w:color w:val="000000"/>
          <w:sz w:val="20"/>
          <w:szCs w:val="20"/>
        </w:rPr>
      </w:pPr>
      <w:r>
        <w:rPr>
          <w:rFonts w:ascii="Arial" w:hAnsi="Arial" w:cs="Arial"/>
          <w:color w:val="000000"/>
          <w:sz w:val="20"/>
          <w:szCs w:val="20"/>
        </w:rPr>
        <w:t>6. This circular shall not apply to microfinance loans covered under </w:t>
      </w:r>
      <w:hyperlink r:id="rId70" w:tgtFrame="_blank" w:history="1">
        <w:r>
          <w:rPr>
            <w:rStyle w:val="Hyperlink"/>
            <w:rFonts w:ascii="Arial" w:hAnsi="Arial" w:cs="Arial"/>
            <w:sz w:val="20"/>
            <w:szCs w:val="20"/>
          </w:rPr>
          <w:t>‘Master Direction – Reserve Bank of India (Regulatory Framework for Microfinance Loans) Directions, 2022’, dated March 14, 2022</w:t>
        </w:r>
      </w:hyperlink>
      <w:r>
        <w:rPr>
          <w:rFonts w:ascii="Arial" w:hAnsi="Arial" w:cs="Arial"/>
          <w:color w:val="000000"/>
          <w:sz w:val="20"/>
          <w:szCs w:val="20"/>
        </w:rPr>
        <w:t>.</w:t>
      </w:r>
    </w:p>
    <w:p w:rsidR="0001090D" w:rsidRDefault="0001090D" w:rsidP="0001090D">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rsidR="0001090D" w:rsidRDefault="0001090D" w:rsidP="0001090D">
      <w:pPr>
        <w:pStyle w:val="NormalWeb"/>
        <w:spacing w:before="0" w:beforeAutospacing="0"/>
        <w:rPr>
          <w:rFonts w:ascii="Arial" w:hAnsi="Arial" w:cs="Arial"/>
          <w:color w:val="000000"/>
          <w:sz w:val="20"/>
          <w:szCs w:val="20"/>
        </w:rPr>
      </w:pPr>
      <w:r>
        <w:rPr>
          <w:rFonts w:ascii="Arial" w:hAnsi="Arial" w:cs="Arial"/>
          <w:color w:val="000000"/>
          <w:sz w:val="20"/>
          <w:szCs w:val="20"/>
        </w:rPr>
        <w:t>(Sunil T. S. Nair)</w:t>
      </w:r>
      <w:r>
        <w:rPr>
          <w:rFonts w:ascii="Arial" w:hAnsi="Arial" w:cs="Arial"/>
          <w:color w:val="000000"/>
          <w:sz w:val="20"/>
          <w:szCs w:val="20"/>
        </w:rPr>
        <w:br/>
        <w:t>Chief General Manager</w:t>
      </w:r>
    </w:p>
    <w:p w:rsidR="0001090D" w:rsidRDefault="0001090D" w:rsidP="0001090D">
      <w:pPr>
        <w:spacing w:before="240" w:after="0"/>
      </w:pPr>
    </w:p>
    <w:p w:rsidR="0001090D" w:rsidRDefault="0001090D" w:rsidP="0001090D">
      <w:pPr>
        <w:spacing w:after="0"/>
      </w:pPr>
      <w:r>
        <w:t>More details can be referred to in the below link.</w:t>
      </w:r>
    </w:p>
    <w:p w:rsidR="0001090D" w:rsidRDefault="0001090D" w:rsidP="0001090D">
      <w:pPr>
        <w:pStyle w:val="NormalWeb"/>
        <w:spacing w:before="0" w:beforeAutospacing="0"/>
        <w:rPr>
          <w:rFonts w:ascii="Arial" w:hAnsi="Arial" w:cs="Arial"/>
          <w:bCs/>
          <w:color w:val="000000"/>
          <w:sz w:val="20"/>
          <w:szCs w:val="20"/>
        </w:rPr>
      </w:pPr>
      <w:r>
        <w:rPr>
          <w:rFonts w:ascii="Arial" w:hAnsi="Arial" w:cs="Arial"/>
          <w:bCs/>
          <w:color w:val="000000"/>
          <w:sz w:val="20"/>
          <w:szCs w:val="20"/>
        </w:rPr>
        <w:lastRenderedPageBreak/>
        <w:t xml:space="preserve">Reference Link: </w:t>
      </w:r>
      <w:hyperlink r:id="rId71" w:anchor=":~:text=The%20Reserve%20Bank%20of%20India,to%20as%20'agents" w:history="1">
        <w:r w:rsidRPr="006865D6">
          <w:rPr>
            <w:rStyle w:val="Hyperlink"/>
            <w:rFonts w:ascii="Arial" w:hAnsi="Arial" w:cs="Arial"/>
            <w:bCs/>
            <w:sz w:val="20"/>
            <w:szCs w:val="20"/>
          </w:rPr>
          <w:t>https://rbi.org.in/scripts/FS_Notification.aspx?Id=12378&amp;fn=2&amp;Mode=0#:~:text=The%20Reserve%20Bank%20of%20India,to%20as%20'agents</w:t>
        </w:r>
      </w:hyperlink>
      <w:r w:rsidRPr="00DE6119">
        <w:rPr>
          <w:rFonts w:ascii="Arial" w:hAnsi="Arial" w:cs="Arial"/>
          <w:bCs/>
          <w:color w:val="000000"/>
          <w:sz w:val="20"/>
          <w:szCs w:val="20"/>
        </w:rPr>
        <w:t>').</w:t>
      </w:r>
    </w:p>
    <w:p w:rsidR="0001090D" w:rsidRDefault="0001090D" w:rsidP="0001090D">
      <w:pPr>
        <w:rPr>
          <w:rFonts w:ascii="Arial" w:hAnsi="Arial" w:cs="Arial"/>
          <w:b/>
          <w:bCs/>
          <w:color w:val="000000"/>
          <w:sz w:val="20"/>
          <w:szCs w:val="20"/>
        </w:rPr>
      </w:pPr>
      <w:r>
        <w:rPr>
          <w:rFonts w:ascii="Arial" w:hAnsi="Arial" w:cs="Arial"/>
          <w:b/>
          <w:bCs/>
          <w:color w:val="000000"/>
          <w:sz w:val="20"/>
          <w:szCs w:val="20"/>
        </w:rPr>
        <w:t>Foreign Exchange Management (Overseas Investment) Regulations, 2022</w:t>
      </w:r>
    </w:p>
    <w:p w:rsidR="0001090D" w:rsidRDefault="0001090D" w:rsidP="0001090D">
      <w:pPr>
        <w:pStyle w:val="head"/>
        <w:jc w:val="both"/>
        <w:rPr>
          <w:rFonts w:ascii="Arial" w:hAnsi="Arial" w:cs="Arial"/>
          <w:b/>
          <w:bCs/>
          <w:color w:val="000000"/>
          <w:sz w:val="20"/>
          <w:szCs w:val="20"/>
        </w:rPr>
      </w:pPr>
      <w:r>
        <w:rPr>
          <w:rFonts w:ascii="Arial" w:hAnsi="Arial" w:cs="Arial"/>
          <w:b/>
          <w:bCs/>
          <w:color w:val="000000"/>
          <w:sz w:val="20"/>
          <w:szCs w:val="20"/>
        </w:rPr>
        <w:t>No. FEMA 400/2022-RB</w:t>
      </w:r>
    </w:p>
    <w:p w:rsidR="0001090D" w:rsidRDefault="0001090D" w:rsidP="0001090D">
      <w:pPr>
        <w:pStyle w:val="head"/>
        <w:jc w:val="right"/>
        <w:rPr>
          <w:rFonts w:ascii="Arial" w:hAnsi="Arial" w:cs="Arial"/>
          <w:b/>
          <w:bCs/>
          <w:color w:val="000000"/>
          <w:sz w:val="20"/>
          <w:szCs w:val="20"/>
        </w:rPr>
      </w:pPr>
      <w:r>
        <w:rPr>
          <w:rFonts w:ascii="Arial" w:hAnsi="Arial" w:cs="Arial"/>
          <w:b/>
          <w:bCs/>
          <w:color w:val="000000"/>
          <w:sz w:val="20"/>
          <w:szCs w:val="20"/>
        </w:rPr>
        <w:t>August 22, 2022</w:t>
      </w:r>
    </w:p>
    <w:p w:rsidR="0001090D" w:rsidRDefault="0001090D" w:rsidP="0001090D">
      <w:pPr>
        <w:pStyle w:val="head"/>
        <w:jc w:val="center"/>
        <w:rPr>
          <w:rFonts w:ascii="Arial" w:hAnsi="Arial" w:cs="Arial"/>
          <w:b/>
          <w:bCs/>
          <w:color w:val="000000"/>
          <w:sz w:val="20"/>
          <w:szCs w:val="20"/>
        </w:rPr>
      </w:pPr>
      <w:r>
        <w:rPr>
          <w:rFonts w:ascii="Arial" w:hAnsi="Arial" w:cs="Arial"/>
          <w:b/>
          <w:bCs/>
          <w:color w:val="000000"/>
          <w:sz w:val="20"/>
          <w:szCs w:val="20"/>
        </w:rPr>
        <w:t>Foreign Exchange Management (Overseas Investment) Regulations, 2022</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 xml:space="preserve">In exercise of the powers conferred by sub-section (1) and clause (a) of sub-section (2) of section 47 of the Foreign Exchange Management Act, 1999 (42 of 1999), the Reserve Bank hereby makes the following regulations, </w:t>
      </w:r>
      <w:proofErr w:type="gramStart"/>
      <w:r>
        <w:rPr>
          <w:rFonts w:ascii="Arial" w:hAnsi="Arial" w:cs="Arial"/>
          <w:color w:val="000000"/>
          <w:sz w:val="20"/>
          <w:szCs w:val="20"/>
        </w:rPr>
        <w:t>namely:–</w:t>
      </w:r>
      <w:proofErr w:type="gramEnd"/>
    </w:p>
    <w:p w:rsidR="0001090D" w:rsidRDefault="0001090D" w:rsidP="0001090D">
      <w:pPr>
        <w:pStyle w:val="NormalWeb"/>
        <w:jc w:val="both"/>
        <w:rPr>
          <w:rFonts w:ascii="Arial" w:hAnsi="Arial" w:cs="Arial"/>
          <w:color w:val="000000"/>
          <w:sz w:val="20"/>
          <w:szCs w:val="20"/>
        </w:rPr>
      </w:pPr>
      <w:r>
        <w:rPr>
          <w:rStyle w:val="head1"/>
          <w:rFonts w:ascii="Arial" w:hAnsi="Arial" w:cs="Arial"/>
          <w:b/>
          <w:bCs/>
          <w:color w:val="000000"/>
          <w:sz w:val="20"/>
          <w:szCs w:val="20"/>
        </w:rPr>
        <w:t xml:space="preserve">1. Short title and </w:t>
      </w:r>
      <w:proofErr w:type="gramStart"/>
      <w:r>
        <w:rPr>
          <w:rStyle w:val="head1"/>
          <w:rFonts w:ascii="Arial" w:hAnsi="Arial" w:cs="Arial"/>
          <w:b/>
          <w:bCs/>
          <w:color w:val="000000"/>
          <w:sz w:val="20"/>
          <w:szCs w:val="20"/>
        </w:rPr>
        <w:t>commencement.–</w:t>
      </w:r>
      <w:proofErr w:type="gramEnd"/>
      <w:r>
        <w:rPr>
          <w:rFonts w:ascii="Arial" w:hAnsi="Arial" w:cs="Arial"/>
          <w:color w:val="000000"/>
          <w:sz w:val="20"/>
          <w:szCs w:val="20"/>
        </w:rPr>
        <w:t> (1) These regulations may be called the Foreign Exchange Management (Overseas Investment) Regulations, 2022.</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(2) They shall come into force on the date of their publication in the </w:t>
      </w:r>
      <w:hyperlink r:id="rId72" w:tgtFrame="_blank" w:history="1">
        <w:r>
          <w:rPr>
            <w:rStyle w:val="Hyperlink"/>
            <w:rFonts w:ascii="Arial" w:hAnsi="Arial" w:cs="Arial"/>
            <w:sz w:val="20"/>
            <w:szCs w:val="20"/>
          </w:rPr>
          <w:t>Official Gazette</w:t>
        </w:r>
      </w:hyperlink>
      <w:r>
        <w:rPr>
          <w:rFonts w:ascii="Arial" w:hAnsi="Arial" w:cs="Arial"/>
          <w:color w:val="000000"/>
          <w:sz w:val="20"/>
          <w:szCs w:val="20"/>
        </w:rPr>
        <w:t>.</w:t>
      </w:r>
    </w:p>
    <w:p w:rsidR="0001090D" w:rsidRDefault="0001090D" w:rsidP="0001090D">
      <w:pPr>
        <w:pStyle w:val="NormalWeb"/>
        <w:jc w:val="both"/>
        <w:rPr>
          <w:rFonts w:ascii="Arial" w:hAnsi="Arial" w:cs="Arial"/>
          <w:color w:val="000000"/>
          <w:sz w:val="20"/>
          <w:szCs w:val="20"/>
        </w:rPr>
      </w:pPr>
      <w:r>
        <w:rPr>
          <w:rStyle w:val="head1"/>
          <w:rFonts w:ascii="Arial" w:hAnsi="Arial" w:cs="Arial"/>
          <w:b/>
          <w:bCs/>
          <w:color w:val="000000"/>
          <w:sz w:val="20"/>
          <w:szCs w:val="20"/>
        </w:rPr>
        <w:t xml:space="preserve">2. </w:t>
      </w:r>
      <w:proofErr w:type="gramStart"/>
      <w:r>
        <w:rPr>
          <w:rStyle w:val="head1"/>
          <w:rFonts w:ascii="Arial" w:hAnsi="Arial" w:cs="Arial"/>
          <w:b/>
          <w:bCs/>
          <w:color w:val="000000"/>
          <w:sz w:val="20"/>
          <w:szCs w:val="20"/>
        </w:rPr>
        <w:t>Definitions.–</w:t>
      </w:r>
      <w:proofErr w:type="gramEnd"/>
      <w:r>
        <w:rPr>
          <w:rFonts w:ascii="Arial" w:hAnsi="Arial" w:cs="Arial"/>
          <w:color w:val="000000"/>
          <w:sz w:val="20"/>
          <w:szCs w:val="20"/>
        </w:rPr>
        <w:t> (1) In these regulations, unless the context otherwise requires,–</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(a) “Act” means the Foreign Exchange Management Act, 1999 (42 of 1999);</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(b) “debt instruments” shall have the same meaning as assigned to it in the </w:t>
      </w:r>
      <w:hyperlink r:id="rId73" w:tgtFrame="_blank" w:history="1">
        <w:r>
          <w:rPr>
            <w:rStyle w:val="Hyperlink"/>
            <w:rFonts w:ascii="Arial" w:hAnsi="Arial" w:cs="Arial"/>
            <w:sz w:val="20"/>
            <w:szCs w:val="20"/>
          </w:rPr>
          <w:t>Foreign Exchange Management (Overseas Investment) Rules, 2022</w:t>
        </w:r>
      </w:hyperlink>
      <w:r>
        <w:rPr>
          <w:rFonts w:ascii="Arial" w:hAnsi="Arial" w:cs="Arial"/>
          <w:color w:val="000000"/>
          <w:sz w:val="20"/>
          <w:szCs w:val="20"/>
        </w:rPr>
        <w:t>;</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(2) The words and expressions used but not defined in these regulations shall have the meanings respectively assigned to them in the Act or the </w:t>
      </w:r>
      <w:hyperlink r:id="rId74" w:tgtFrame="_blank" w:history="1">
        <w:r>
          <w:rPr>
            <w:rStyle w:val="Hyperlink"/>
            <w:rFonts w:ascii="Arial" w:hAnsi="Arial" w:cs="Arial"/>
            <w:sz w:val="20"/>
            <w:szCs w:val="20"/>
          </w:rPr>
          <w:t>Foreign Exchange Management (Overseas Investment) Rules, 2022</w:t>
        </w:r>
      </w:hyperlink>
      <w:r>
        <w:rPr>
          <w:rFonts w:ascii="Arial" w:hAnsi="Arial" w:cs="Arial"/>
          <w:color w:val="000000"/>
          <w:sz w:val="20"/>
          <w:szCs w:val="20"/>
        </w:rPr>
        <w:t>.</w:t>
      </w:r>
    </w:p>
    <w:p w:rsidR="0001090D" w:rsidRPr="005D5DB2" w:rsidRDefault="0001090D" w:rsidP="0001090D">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3. Financial commitment by Indian entity by modes other than equity capital</w:t>
      </w:r>
    </w:p>
    <w:p w:rsidR="0001090D" w:rsidRPr="005D5DB2" w:rsidRDefault="0001090D" w:rsidP="0001090D">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4. Financial commitment by Indian entity by way of debt</w:t>
      </w:r>
    </w:p>
    <w:p w:rsidR="0001090D" w:rsidRPr="005D5DB2" w:rsidRDefault="0001090D" w:rsidP="0001090D">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5. Financial commitment by way of guarantee</w:t>
      </w:r>
    </w:p>
    <w:p w:rsidR="0001090D" w:rsidRPr="005D5DB2" w:rsidRDefault="0001090D" w:rsidP="0001090D">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6. Financial commitment by way of pledge or charge</w:t>
      </w:r>
    </w:p>
    <w:p w:rsidR="0001090D" w:rsidRPr="005D5DB2" w:rsidRDefault="0001090D" w:rsidP="0001090D">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7. Acquisition or transfer by way of deferred payment</w:t>
      </w:r>
    </w:p>
    <w:p w:rsidR="0001090D" w:rsidRPr="005D5DB2" w:rsidRDefault="0001090D" w:rsidP="0001090D">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8. Mode of payment</w:t>
      </w:r>
    </w:p>
    <w:p w:rsidR="0001090D" w:rsidRPr="005D5DB2" w:rsidRDefault="0001090D" w:rsidP="0001090D">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9. Obligations of person resident in India</w:t>
      </w:r>
    </w:p>
    <w:p w:rsidR="0001090D" w:rsidRPr="005D5DB2" w:rsidRDefault="0001090D" w:rsidP="0001090D">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10. Reporting requirements for Overseas Investment</w:t>
      </w:r>
    </w:p>
    <w:p w:rsidR="0001090D" w:rsidRPr="005D5DB2" w:rsidRDefault="0001090D" w:rsidP="0001090D">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11. Delay in reporting</w:t>
      </w:r>
    </w:p>
    <w:p w:rsidR="0001090D" w:rsidRPr="005D5DB2" w:rsidRDefault="0001090D" w:rsidP="0001090D">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12. Restriction on further financial commitment or transfer</w:t>
      </w:r>
    </w:p>
    <w:p w:rsidR="0001090D" w:rsidRDefault="0001090D" w:rsidP="0001090D">
      <w:pPr>
        <w:pStyle w:val="NormalWeb"/>
        <w:rPr>
          <w:rFonts w:ascii="Arial" w:hAnsi="Arial" w:cs="Arial"/>
          <w:color w:val="000000"/>
          <w:sz w:val="20"/>
          <w:szCs w:val="20"/>
        </w:rPr>
      </w:pPr>
    </w:p>
    <w:p w:rsidR="0001090D" w:rsidRDefault="0001090D" w:rsidP="0001090D">
      <w:pPr>
        <w:pStyle w:val="NormalWeb"/>
        <w:rPr>
          <w:rFonts w:ascii="Arial" w:hAnsi="Arial" w:cs="Arial"/>
          <w:color w:val="000000"/>
          <w:sz w:val="20"/>
          <w:szCs w:val="20"/>
        </w:rPr>
      </w:pPr>
      <w:r>
        <w:rPr>
          <w:rFonts w:ascii="Arial" w:hAnsi="Arial" w:cs="Arial"/>
          <w:color w:val="000000"/>
          <w:sz w:val="20"/>
          <w:szCs w:val="20"/>
        </w:rPr>
        <w:t xml:space="preserve">(Ajay Kumar </w:t>
      </w:r>
      <w:proofErr w:type="spellStart"/>
      <w:r>
        <w:rPr>
          <w:rFonts w:ascii="Arial" w:hAnsi="Arial" w:cs="Arial"/>
          <w:color w:val="000000"/>
          <w:sz w:val="20"/>
          <w:szCs w:val="20"/>
        </w:rPr>
        <w:t>Misra</w:t>
      </w:r>
      <w:proofErr w:type="spellEnd"/>
      <w:r>
        <w:rPr>
          <w:rFonts w:ascii="Arial" w:hAnsi="Arial" w:cs="Arial"/>
          <w:color w:val="000000"/>
          <w:sz w:val="20"/>
          <w:szCs w:val="20"/>
        </w:rPr>
        <w:t>)</w:t>
      </w:r>
      <w:r>
        <w:rPr>
          <w:rFonts w:ascii="Arial" w:hAnsi="Arial" w:cs="Arial"/>
          <w:color w:val="000000"/>
          <w:sz w:val="20"/>
          <w:szCs w:val="20"/>
        </w:rPr>
        <w:br/>
        <w:t>Chief General Manager-in-Charge</w:t>
      </w:r>
    </w:p>
    <w:p w:rsidR="0001090D" w:rsidRDefault="0001090D" w:rsidP="0001090D"/>
    <w:p w:rsidR="0001090D" w:rsidRDefault="0001090D" w:rsidP="0001090D"/>
    <w:p w:rsidR="0001090D" w:rsidRDefault="0001090D" w:rsidP="0001090D"/>
    <w:p w:rsidR="0001090D" w:rsidRDefault="0001090D" w:rsidP="0001090D">
      <w:r>
        <w:t>More details can be referred to in the below link.</w:t>
      </w:r>
    </w:p>
    <w:p w:rsidR="0001090D" w:rsidRDefault="0001090D" w:rsidP="0001090D">
      <w:pPr>
        <w:rPr>
          <w:rFonts w:ascii="Arial" w:hAnsi="Arial" w:cs="Arial"/>
          <w:sz w:val="20"/>
          <w:szCs w:val="20"/>
        </w:rPr>
      </w:pPr>
      <w:r>
        <w:rPr>
          <w:rFonts w:ascii="Arial" w:hAnsi="Arial" w:cs="Arial"/>
          <w:sz w:val="20"/>
          <w:szCs w:val="20"/>
        </w:rPr>
        <w:t xml:space="preserve">Reference Link: </w:t>
      </w:r>
      <w:hyperlink r:id="rId75" w:history="1">
        <w:r w:rsidRPr="00200311">
          <w:rPr>
            <w:rStyle w:val="Hyperlink"/>
            <w:rFonts w:ascii="Arial" w:hAnsi="Arial" w:cs="Arial"/>
            <w:sz w:val="20"/>
            <w:szCs w:val="20"/>
          </w:rPr>
          <w:t>https://www.rbi.org.in/scripts/NotificationUser.aspx?Id=12380&amp;Mode=0</w:t>
        </w:r>
      </w:hyperlink>
    </w:p>
    <w:p w:rsidR="0001090D" w:rsidRDefault="0001090D" w:rsidP="0001090D"/>
    <w:p w:rsidR="0001090D" w:rsidRDefault="0001090D" w:rsidP="00BA0C06">
      <w:pPr>
        <w:rPr>
          <w:rFonts w:ascii="Arial" w:hAnsi="Arial" w:cs="Arial"/>
          <w:bCs/>
          <w:color w:val="000000"/>
          <w:sz w:val="20"/>
          <w:szCs w:val="20"/>
        </w:rPr>
      </w:pPr>
    </w:p>
    <w:p w:rsidR="0001090D" w:rsidRPr="00435B25" w:rsidRDefault="0001090D" w:rsidP="0001090D">
      <w:pPr>
        <w:rPr>
          <w:rFonts w:ascii="Arial" w:hAnsi="Arial" w:cs="Arial"/>
          <w:b/>
          <w:bCs/>
          <w:color w:val="000000"/>
          <w:sz w:val="20"/>
          <w:szCs w:val="20"/>
        </w:rPr>
      </w:pPr>
      <w:r w:rsidRPr="00435B25">
        <w:rPr>
          <w:rFonts w:ascii="Arial" w:hAnsi="Arial" w:cs="Arial"/>
          <w:b/>
          <w:bCs/>
          <w:color w:val="000000"/>
          <w:sz w:val="20"/>
          <w:szCs w:val="20"/>
        </w:rPr>
        <w:t>Foreign Exchange Management (Overseas Investment) Directions, 2022</w:t>
      </w:r>
    </w:p>
    <w:p w:rsidR="0001090D" w:rsidRPr="00435B25" w:rsidRDefault="0001090D" w:rsidP="0001090D">
      <w:pPr>
        <w:pStyle w:val="NormalWeb"/>
        <w:jc w:val="both"/>
        <w:rPr>
          <w:rFonts w:ascii="Arial" w:hAnsi="Arial" w:cs="Arial"/>
          <w:color w:val="000000"/>
          <w:sz w:val="20"/>
          <w:szCs w:val="20"/>
        </w:rPr>
      </w:pPr>
      <w:r w:rsidRPr="00435B25">
        <w:rPr>
          <w:rFonts w:ascii="Arial" w:hAnsi="Arial" w:cs="Arial"/>
          <w:color w:val="000000"/>
          <w:sz w:val="20"/>
          <w:szCs w:val="20"/>
        </w:rPr>
        <w:t>RBI/2022-2023/110</w:t>
      </w:r>
      <w:r w:rsidRPr="00435B25">
        <w:rPr>
          <w:rFonts w:ascii="Arial" w:hAnsi="Arial" w:cs="Arial"/>
          <w:color w:val="000000"/>
          <w:sz w:val="20"/>
          <w:szCs w:val="20"/>
        </w:rPr>
        <w:br/>
        <w:t>A.P. (DIR Series) Circular No.12</w:t>
      </w:r>
    </w:p>
    <w:p w:rsidR="0001090D" w:rsidRPr="00435B25" w:rsidRDefault="0001090D" w:rsidP="0001090D">
      <w:pPr>
        <w:pStyle w:val="NormalWeb"/>
        <w:jc w:val="right"/>
        <w:rPr>
          <w:rFonts w:ascii="Arial" w:hAnsi="Arial" w:cs="Arial"/>
          <w:color w:val="000000"/>
          <w:sz w:val="20"/>
          <w:szCs w:val="20"/>
        </w:rPr>
      </w:pPr>
      <w:r w:rsidRPr="00435B25">
        <w:rPr>
          <w:rFonts w:ascii="Arial" w:hAnsi="Arial" w:cs="Arial"/>
          <w:color w:val="000000"/>
          <w:sz w:val="20"/>
          <w:szCs w:val="20"/>
        </w:rPr>
        <w:t>August 22, 2022</w:t>
      </w:r>
    </w:p>
    <w:p w:rsidR="0001090D" w:rsidRPr="00435B25" w:rsidRDefault="0001090D" w:rsidP="0001090D">
      <w:pPr>
        <w:pStyle w:val="NormalWeb"/>
        <w:spacing w:before="0" w:beforeAutospacing="0" w:after="0" w:afterAutospacing="0"/>
        <w:jc w:val="both"/>
        <w:rPr>
          <w:rFonts w:ascii="Arial" w:hAnsi="Arial" w:cs="Arial"/>
          <w:color w:val="000000"/>
          <w:sz w:val="20"/>
          <w:szCs w:val="20"/>
        </w:rPr>
      </w:pPr>
      <w:r w:rsidRPr="00435B25">
        <w:rPr>
          <w:rFonts w:ascii="Arial" w:hAnsi="Arial" w:cs="Arial"/>
          <w:color w:val="000000"/>
          <w:sz w:val="20"/>
          <w:szCs w:val="20"/>
        </w:rPr>
        <w:t>All Category – I Authorised Dealer Banks</w:t>
      </w:r>
    </w:p>
    <w:p w:rsidR="0001090D" w:rsidRPr="00435B25" w:rsidRDefault="0001090D" w:rsidP="0001090D">
      <w:pPr>
        <w:pStyle w:val="NormalWeb"/>
        <w:spacing w:before="0" w:beforeAutospacing="0" w:after="0" w:afterAutospacing="0"/>
        <w:jc w:val="both"/>
        <w:rPr>
          <w:rFonts w:ascii="Arial" w:hAnsi="Arial" w:cs="Arial"/>
          <w:color w:val="000000"/>
          <w:sz w:val="20"/>
          <w:szCs w:val="20"/>
        </w:rPr>
      </w:pPr>
      <w:r w:rsidRPr="00435B25">
        <w:rPr>
          <w:rFonts w:ascii="Arial" w:hAnsi="Arial" w:cs="Arial"/>
          <w:color w:val="000000"/>
          <w:sz w:val="20"/>
          <w:szCs w:val="20"/>
        </w:rPr>
        <w:t>Madam/Sir</w:t>
      </w:r>
    </w:p>
    <w:p w:rsidR="0001090D" w:rsidRPr="00435B25" w:rsidRDefault="0001090D" w:rsidP="0001090D">
      <w:pPr>
        <w:pStyle w:val="head"/>
        <w:jc w:val="center"/>
        <w:rPr>
          <w:rFonts w:ascii="Arial" w:hAnsi="Arial" w:cs="Arial"/>
          <w:b/>
          <w:bCs/>
          <w:color w:val="000000"/>
          <w:sz w:val="20"/>
          <w:szCs w:val="20"/>
        </w:rPr>
      </w:pPr>
      <w:r w:rsidRPr="00435B25">
        <w:rPr>
          <w:rFonts w:ascii="Arial" w:hAnsi="Arial" w:cs="Arial"/>
          <w:b/>
          <w:bCs/>
          <w:color w:val="000000"/>
          <w:sz w:val="20"/>
          <w:szCs w:val="20"/>
        </w:rPr>
        <w:t>Foreign Exchange Management (Overseas Investment) Directions, 2022</w:t>
      </w:r>
    </w:p>
    <w:p w:rsidR="0001090D" w:rsidRPr="00435B25" w:rsidRDefault="0001090D" w:rsidP="0001090D">
      <w:pPr>
        <w:pStyle w:val="NormalWeb"/>
        <w:jc w:val="both"/>
        <w:rPr>
          <w:rFonts w:ascii="Arial" w:hAnsi="Arial" w:cs="Arial"/>
          <w:color w:val="000000"/>
          <w:sz w:val="20"/>
          <w:szCs w:val="20"/>
        </w:rPr>
      </w:pPr>
      <w:r w:rsidRPr="00435B25">
        <w:rPr>
          <w:rFonts w:ascii="Arial" w:hAnsi="Arial" w:cs="Arial"/>
          <w:color w:val="000000"/>
          <w:sz w:val="20"/>
          <w:szCs w:val="20"/>
        </w:rPr>
        <w:t xml:space="preserve">Overseas investments by </w:t>
      </w:r>
      <w:proofErr w:type="gramStart"/>
      <w:r w:rsidRPr="00435B25">
        <w:rPr>
          <w:rFonts w:ascii="Arial" w:hAnsi="Arial" w:cs="Arial"/>
          <w:color w:val="000000"/>
          <w:sz w:val="20"/>
          <w:szCs w:val="20"/>
        </w:rPr>
        <w:t>persons</w:t>
      </w:r>
      <w:proofErr w:type="gramEnd"/>
      <w:r w:rsidRPr="00435B25">
        <w:rPr>
          <w:rFonts w:ascii="Arial" w:hAnsi="Arial" w:cs="Arial"/>
          <w:color w:val="000000"/>
          <w:sz w:val="20"/>
          <w:szCs w:val="20"/>
        </w:rPr>
        <w:t xml:space="preserve"> resident in India enhance the scale and scope of business operations of Indian entrepreneurs by providing global opportunities for growth. Such ventures through easier access to technology, research and development, a wider global market and reduced cost of capital along with other benefits increase the competitiveness of Indian entities and boost their brand value. These overseas investments are also important drivers of foreign trade and technology transfer thus boosting domestic employment, investment and growth through such interlinkages.</w:t>
      </w:r>
    </w:p>
    <w:p w:rsidR="0001090D" w:rsidRPr="00435B25" w:rsidRDefault="0001090D" w:rsidP="0001090D">
      <w:pPr>
        <w:pStyle w:val="NormalWeb"/>
        <w:jc w:val="both"/>
        <w:rPr>
          <w:rFonts w:ascii="Arial" w:hAnsi="Arial" w:cs="Arial"/>
          <w:color w:val="000000"/>
          <w:sz w:val="20"/>
          <w:szCs w:val="20"/>
        </w:rPr>
      </w:pPr>
      <w:r w:rsidRPr="00435B25">
        <w:rPr>
          <w:rFonts w:ascii="Arial" w:hAnsi="Arial" w:cs="Arial"/>
          <w:color w:val="000000"/>
          <w:sz w:val="20"/>
          <w:szCs w:val="20"/>
        </w:rPr>
        <w:t>2. In keeping with the spirit of liberalisation and to promote ease of doing business, the Central Government and the Reserve Bank of India have been progressively simplifying the procedures and rationalising the rules and regulations under the Foreign Exchange Management Act, 1999. In this direction, a significant step has been taken with operationalisation of a new Overseas Investment regime. </w:t>
      </w:r>
      <w:hyperlink r:id="rId76" w:tgtFrame="_blank" w:history="1">
        <w:r w:rsidRPr="00435B25">
          <w:rPr>
            <w:rStyle w:val="Hyperlink"/>
            <w:rFonts w:ascii="Arial" w:hAnsi="Arial" w:cs="Arial"/>
            <w:sz w:val="20"/>
            <w:szCs w:val="20"/>
          </w:rPr>
          <w:t>Foreign Exchange Management (Overseas Investment) Rules, 2022</w:t>
        </w:r>
      </w:hyperlink>
      <w:r w:rsidRPr="00435B25">
        <w:rPr>
          <w:rFonts w:ascii="Arial" w:hAnsi="Arial" w:cs="Arial"/>
          <w:color w:val="000000"/>
          <w:sz w:val="20"/>
          <w:szCs w:val="20"/>
        </w:rPr>
        <w:t> have been notified by the Central Government vide Notification No. G.S.R. 646(E) dated August 22, 2022 and </w:t>
      </w:r>
      <w:hyperlink r:id="rId77" w:tgtFrame="_blank" w:history="1">
        <w:r w:rsidRPr="00435B25">
          <w:rPr>
            <w:rStyle w:val="Hyperlink"/>
            <w:rFonts w:ascii="Arial" w:hAnsi="Arial" w:cs="Arial"/>
            <w:sz w:val="20"/>
            <w:szCs w:val="20"/>
          </w:rPr>
          <w:t>Foreign Exchange Management (Overseas Investment) Regulations, 2022</w:t>
        </w:r>
      </w:hyperlink>
      <w:r w:rsidRPr="00435B25">
        <w:rPr>
          <w:rFonts w:ascii="Arial" w:hAnsi="Arial" w:cs="Arial"/>
          <w:color w:val="000000"/>
          <w:sz w:val="20"/>
          <w:szCs w:val="20"/>
        </w:rPr>
        <w:t> have been notified by the Reserve Bank vide Notification No. FEMA 400/2022-RB dated August 22, 2022 in supersession of the </w:t>
      </w:r>
      <w:hyperlink r:id="rId78" w:tgtFrame="_blank" w:history="1">
        <w:r w:rsidRPr="00435B25">
          <w:rPr>
            <w:rStyle w:val="Hyperlink"/>
            <w:rFonts w:ascii="Arial" w:hAnsi="Arial" w:cs="Arial"/>
            <w:sz w:val="20"/>
            <w:szCs w:val="20"/>
          </w:rPr>
          <w:t>Notification No. FEMA 120/2004-RB dated July 07, 2004</w:t>
        </w:r>
      </w:hyperlink>
      <w:r w:rsidRPr="00435B25">
        <w:rPr>
          <w:rFonts w:ascii="Arial" w:hAnsi="Arial" w:cs="Arial"/>
          <w:color w:val="000000"/>
          <w:sz w:val="20"/>
          <w:szCs w:val="20"/>
        </w:rPr>
        <w:t> [Foreign Exchange Management (Transfer or Issue of any Foreign Security) (Amendment) Regulations, 2004] and </w:t>
      </w:r>
      <w:hyperlink r:id="rId79" w:tgtFrame="_blank" w:history="1">
        <w:r w:rsidRPr="00435B25">
          <w:rPr>
            <w:rStyle w:val="Hyperlink"/>
            <w:rFonts w:ascii="Arial" w:hAnsi="Arial" w:cs="Arial"/>
            <w:sz w:val="20"/>
            <w:szCs w:val="20"/>
          </w:rPr>
          <w:t>Notification No. FEMA 7 (R)/2015-RB dated January 21, 2016</w:t>
        </w:r>
      </w:hyperlink>
      <w:r w:rsidRPr="00435B25">
        <w:rPr>
          <w:rFonts w:ascii="Arial" w:hAnsi="Arial" w:cs="Arial"/>
          <w:color w:val="000000"/>
          <w:sz w:val="20"/>
          <w:szCs w:val="20"/>
        </w:rPr>
        <w:t xml:space="preserve"> [Foreign Exchange Management (Acquisition and Transfer of Immovable Property Outside India) Regulations, 2015]. The new regime simplifies the existing framework for overseas investment by </w:t>
      </w:r>
      <w:proofErr w:type="gramStart"/>
      <w:r w:rsidRPr="00435B25">
        <w:rPr>
          <w:rFonts w:ascii="Arial" w:hAnsi="Arial" w:cs="Arial"/>
          <w:color w:val="000000"/>
          <w:sz w:val="20"/>
          <w:szCs w:val="20"/>
        </w:rPr>
        <w:t>persons</w:t>
      </w:r>
      <w:proofErr w:type="gramEnd"/>
      <w:r w:rsidRPr="00435B25">
        <w:rPr>
          <w:rFonts w:ascii="Arial" w:hAnsi="Arial" w:cs="Arial"/>
          <w:color w:val="000000"/>
          <w:sz w:val="20"/>
          <w:szCs w:val="20"/>
        </w:rPr>
        <w:t xml:space="preserve"> resident in India to cover wider economic activity and significantly reduces the need for seeking specific approvals. This will reduce the compliance burden and associated compliance costs.</w:t>
      </w:r>
    </w:p>
    <w:p w:rsidR="0001090D" w:rsidRPr="00435B25" w:rsidRDefault="0001090D" w:rsidP="0001090D">
      <w:pPr>
        <w:pStyle w:val="NormalWeb"/>
        <w:spacing w:before="0" w:beforeAutospacing="0" w:after="0" w:afterAutospacing="0"/>
        <w:rPr>
          <w:rFonts w:ascii="Arial" w:hAnsi="Arial" w:cs="Arial"/>
          <w:color w:val="000000"/>
          <w:sz w:val="20"/>
          <w:szCs w:val="20"/>
        </w:rPr>
      </w:pPr>
      <w:r w:rsidRPr="00435B25">
        <w:rPr>
          <w:rFonts w:ascii="Arial" w:hAnsi="Arial" w:cs="Arial"/>
          <w:color w:val="000000"/>
          <w:sz w:val="20"/>
          <w:szCs w:val="20"/>
        </w:rPr>
        <w:t>3. Some of the significant changes brought about through the new rules and regulations are summarised below:</w:t>
      </w:r>
    </w:p>
    <w:p w:rsidR="0001090D" w:rsidRPr="00435B25" w:rsidRDefault="0001090D" w:rsidP="0001090D">
      <w:pPr>
        <w:pStyle w:val="NormalWeb"/>
        <w:spacing w:before="0" w:beforeAutospacing="0" w:after="0" w:afterAutospacing="0"/>
        <w:rPr>
          <w:rFonts w:ascii="Arial" w:hAnsi="Arial" w:cs="Arial"/>
          <w:color w:val="000000"/>
          <w:sz w:val="20"/>
          <w:szCs w:val="20"/>
        </w:rPr>
      </w:pPr>
      <w:r w:rsidRPr="00435B25">
        <w:rPr>
          <w:rFonts w:ascii="Arial" w:hAnsi="Arial" w:cs="Arial"/>
          <w:color w:val="000000"/>
          <w:sz w:val="20"/>
          <w:szCs w:val="20"/>
        </w:rPr>
        <w:t>(i) enhanced clarity with respect to various definitions;</w:t>
      </w:r>
    </w:p>
    <w:p w:rsidR="0001090D" w:rsidRPr="00435B25" w:rsidRDefault="0001090D" w:rsidP="0001090D">
      <w:pPr>
        <w:pStyle w:val="NormalWeb"/>
        <w:spacing w:before="0" w:beforeAutospacing="0" w:after="0" w:afterAutospacing="0"/>
        <w:rPr>
          <w:rFonts w:ascii="Arial" w:hAnsi="Arial" w:cs="Arial"/>
          <w:color w:val="000000"/>
          <w:sz w:val="20"/>
          <w:szCs w:val="20"/>
        </w:rPr>
      </w:pPr>
      <w:r w:rsidRPr="00435B25">
        <w:rPr>
          <w:rFonts w:ascii="Arial" w:hAnsi="Arial" w:cs="Arial"/>
          <w:color w:val="000000"/>
          <w:sz w:val="20"/>
          <w:szCs w:val="20"/>
        </w:rPr>
        <w:t>(ii) introduction of the concept of “strategic sector”;</w:t>
      </w:r>
    </w:p>
    <w:p w:rsidR="0001090D" w:rsidRPr="00435B25" w:rsidRDefault="0001090D" w:rsidP="0001090D">
      <w:pPr>
        <w:pStyle w:val="NormalWeb"/>
        <w:spacing w:before="0" w:beforeAutospacing="0" w:after="0" w:afterAutospacing="0"/>
        <w:rPr>
          <w:rFonts w:ascii="Arial" w:hAnsi="Arial" w:cs="Arial"/>
          <w:color w:val="000000"/>
          <w:sz w:val="20"/>
          <w:szCs w:val="20"/>
        </w:rPr>
      </w:pPr>
      <w:r w:rsidRPr="00435B25">
        <w:rPr>
          <w:rFonts w:ascii="Arial" w:hAnsi="Arial" w:cs="Arial"/>
          <w:color w:val="000000"/>
          <w:sz w:val="20"/>
          <w:szCs w:val="20"/>
        </w:rPr>
        <w:t>(iii) dispensing with the requirement of approval for:</w:t>
      </w:r>
    </w:p>
    <w:p w:rsidR="0001090D" w:rsidRPr="00435B25" w:rsidRDefault="0001090D" w:rsidP="00DA1141">
      <w:pPr>
        <w:pStyle w:val="NormalWeb"/>
        <w:numPr>
          <w:ilvl w:val="0"/>
          <w:numId w:val="11"/>
        </w:numPr>
        <w:spacing w:before="0" w:beforeAutospacing="0"/>
        <w:ind w:left="0"/>
        <w:jc w:val="both"/>
        <w:rPr>
          <w:rFonts w:ascii="Arial" w:hAnsi="Arial" w:cs="Arial"/>
          <w:color w:val="000000"/>
          <w:sz w:val="20"/>
          <w:szCs w:val="20"/>
        </w:rPr>
      </w:pPr>
      <w:r w:rsidRPr="00435B25">
        <w:rPr>
          <w:rFonts w:ascii="Arial" w:hAnsi="Arial" w:cs="Arial"/>
          <w:color w:val="000000"/>
          <w:sz w:val="20"/>
          <w:szCs w:val="20"/>
        </w:rPr>
        <w:t>deferred payment of consideration;</w:t>
      </w:r>
    </w:p>
    <w:p w:rsidR="0001090D" w:rsidRPr="00435B25" w:rsidRDefault="0001090D" w:rsidP="00DA1141">
      <w:pPr>
        <w:pStyle w:val="NormalWeb"/>
        <w:numPr>
          <w:ilvl w:val="0"/>
          <w:numId w:val="11"/>
        </w:numPr>
        <w:ind w:left="0"/>
        <w:jc w:val="both"/>
        <w:rPr>
          <w:rFonts w:ascii="Arial" w:hAnsi="Arial" w:cs="Arial"/>
          <w:color w:val="000000"/>
          <w:sz w:val="20"/>
          <w:szCs w:val="20"/>
        </w:rPr>
      </w:pPr>
      <w:r w:rsidRPr="00435B25">
        <w:rPr>
          <w:rFonts w:ascii="Arial" w:hAnsi="Arial" w:cs="Arial"/>
          <w:color w:val="000000"/>
          <w:sz w:val="20"/>
          <w:szCs w:val="20"/>
        </w:rPr>
        <w:t xml:space="preserve">investment/disinvestment by </w:t>
      </w:r>
      <w:proofErr w:type="gramStart"/>
      <w:r w:rsidRPr="00435B25">
        <w:rPr>
          <w:rFonts w:ascii="Arial" w:hAnsi="Arial" w:cs="Arial"/>
          <w:color w:val="000000"/>
          <w:sz w:val="20"/>
          <w:szCs w:val="20"/>
        </w:rPr>
        <w:t>persons</w:t>
      </w:r>
      <w:proofErr w:type="gramEnd"/>
      <w:r w:rsidRPr="00435B25">
        <w:rPr>
          <w:rFonts w:ascii="Arial" w:hAnsi="Arial" w:cs="Arial"/>
          <w:color w:val="000000"/>
          <w:sz w:val="20"/>
          <w:szCs w:val="20"/>
        </w:rPr>
        <w:t xml:space="preserve"> resident in India under investigation by any investigative agency/regulatory body;</w:t>
      </w:r>
    </w:p>
    <w:p w:rsidR="0001090D" w:rsidRPr="00435B25" w:rsidRDefault="0001090D" w:rsidP="00DA1141">
      <w:pPr>
        <w:pStyle w:val="NormalWeb"/>
        <w:numPr>
          <w:ilvl w:val="0"/>
          <w:numId w:val="11"/>
        </w:numPr>
        <w:ind w:left="0"/>
        <w:jc w:val="both"/>
        <w:rPr>
          <w:rFonts w:ascii="Arial" w:hAnsi="Arial" w:cs="Arial"/>
          <w:color w:val="000000"/>
          <w:sz w:val="20"/>
          <w:szCs w:val="20"/>
        </w:rPr>
      </w:pPr>
      <w:r w:rsidRPr="00435B25">
        <w:rPr>
          <w:rFonts w:ascii="Arial" w:hAnsi="Arial" w:cs="Arial"/>
          <w:color w:val="000000"/>
          <w:sz w:val="20"/>
          <w:szCs w:val="20"/>
        </w:rPr>
        <w:t>issuance of corporate guarantees to or on behalf of second or subsequent level step down subsidiary (SDS);</w:t>
      </w:r>
    </w:p>
    <w:p w:rsidR="0001090D" w:rsidRPr="00435B25" w:rsidRDefault="0001090D" w:rsidP="00DA1141">
      <w:pPr>
        <w:pStyle w:val="NormalWeb"/>
        <w:numPr>
          <w:ilvl w:val="0"/>
          <w:numId w:val="11"/>
        </w:numPr>
        <w:spacing w:before="0" w:beforeAutospacing="0" w:after="0" w:afterAutospacing="0"/>
        <w:ind w:left="0"/>
        <w:jc w:val="both"/>
        <w:rPr>
          <w:rFonts w:ascii="Arial" w:hAnsi="Arial" w:cs="Arial"/>
          <w:color w:val="000000"/>
          <w:sz w:val="20"/>
          <w:szCs w:val="20"/>
        </w:rPr>
      </w:pPr>
      <w:r w:rsidRPr="00435B25">
        <w:rPr>
          <w:rFonts w:ascii="Arial" w:hAnsi="Arial" w:cs="Arial"/>
          <w:color w:val="000000"/>
          <w:sz w:val="20"/>
          <w:szCs w:val="20"/>
        </w:rPr>
        <w:t>write-off on account of disinvestment;</w:t>
      </w:r>
    </w:p>
    <w:p w:rsidR="0001090D" w:rsidRPr="00435B25" w:rsidRDefault="0001090D" w:rsidP="0001090D">
      <w:pPr>
        <w:pStyle w:val="NormalWeb"/>
        <w:spacing w:before="0" w:beforeAutospacing="0" w:after="0" w:afterAutospacing="0"/>
        <w:jc w:val="both"/>
        <w:rPr>
          <w:rFonts w:ascii="Arial" w:hAnsi="Arial" w:cs="Arial"/>
          <w:color w:val="000000"/>
          <w:sz w:val="20"/>
          <w:szCs w:val="20"/>
        </w:rPr>
      </w:pPr>
      <w:r w:rsidRPr="00435B25">
        <w:rPr>
          <w:rFonts w:ascii="Arial" w:hAnsi="Arial" w:cs="Arial"/>
          <w:color w:val="000000"/>
          <w:sz w:val="20"/>
          <w:szCs w:val="20"/>
        </w:rPr>
        <w:t>(iv) introduction of “Late Submission Fee (LSF)” for reporting delays.</w:t>
      </w:r>
    </w:p>
    <w:p w:rsidR="0001090D" w:rsidRDefault="0001090D" w:rsidP="0001090D">
      <w:pPr>
        <w:pStyle w:val="NormalWeb"/>
        <w:spacing w:after="0" w:afterAutospacing="0"/>
        <w:rPr>
          <w:rFonts w:ascii="Arial" w:hAnsi="Arial" w:cs="Arial"/>
          <w:color w:val="000000"/>
          <w:sz w:val="20"/>
          <w:szCs w:val="20"/>
        </w:rPr>
      </w:pPr>
      <w:r w:rsidRPr="00435B25">
        <w:rPr>
          <w:rFonts w:ascii="Arial" w:hAnsi="Arial" w:cs="Arial"/>
          <w:color w:val="000000"/>
          <w:sz w:val="20"/>
          <w:szCs w:val="20"/>
        </w:rPr>
        <w:t>Yours faithfully</w:t>
      </w:r>
    </w:p>
    <w:p w:rsidR="0001090D" w:rsidRPr="00435B25" w:rsidRDefault="0001090D" w:rsidP="0001090D">
      <w:pPr>
        <w:pStyle w:val="NormalWeb"/>
        <w:spacing w:before="0" w:beforeAutospacing="0" w:after="0" w:afterAutospacing="0"/>
        <w:rPr>
          <w:rFonts w:ascii="Arial" w:hAnsi="Arial" w:cs="Arial"/>
          <w:color w:val="000000"/>
          <w:sz w:val="20"/>
          <w:szCs w:val="20"/>
        </w:rPr>
      </w:pPr>
      <w:r w:rsidRPr="00435B25">
        <w:rPr>
          <w:rFonts w:ascii="Arial" w:hAnsi="Arial" w:cs="Arial"/>
          <w:color w:val="000000"/>
          <w:sz w:val="20"/>
          <w:szCs w:val="20"/>
        </w:rPr>
        <w:t xml:space="preserve">Ajay Kumar </w:t>
      </w:r>
      <w:proofErr w:type="spellStart"/>
      <w:r w:rsidRPr="00435B25">
        <w:rPr>
          <w:rFonts w:ascii="Arial" w:hAnsi="Arial" w:cs="Arial"/>
          <w:color w:val="000000"/>
          <w:sz w:val="20"/>
          <w:szCs w:val="20"/>
        </w:rPr>
        <w:t>Misra</w:t>
      </w:r>
      <w:proofErr w:type="spellEnd"/>
      <w:r w:rsidRPr="00435B25">
        <w:rPr>
          <w:rFonts w:ascii="Arial" w:hAnsi="Arial" w:cs="Arial"/>
          <w:color w:val="000000"/>
          <w:sz w:val="20"/>
          <w:szCs w:val="20"/>
        </w:rPr>
        <w:br/>
        <w:t>Chief General Manager-in-Charge</w:t>
      </w:r>
    </w:p>
    <w:p w:rsidR="0001090D" w:rsidRDefault="0001090D" w:rsidP="0001090D">
      <w:pPr>
        <w:rPr>
          <w:rFonts w:ascii="Arial" w:hAnsi="Arial" w:cs="Arial"/>
          <w:sz w:val="20"/>
          <w:szCs w:val="20"/>
        </w:rPr>
      </w:pPr>
    </w:p>
    <w:p w:rsidR="0001090D" w:rsidRPr="00435B25" w:rsidRDefault="0001090D" w:rsidP="0001090D">
      <w:pPr>
        <w:spacing w:after="0"/>
        <w:rPr>
          <w:rFonts w:ascii="Arial" w:hAnsi="Arial" w:cs="Arial"/>
          <w:sz w:val="20"/>
          <w:szCs w:val="20"/>
        </w:rPr>
      </w:pPr>
    </w:p>
    <w:p w:rsidR="0001090D" w:rsidRPr="00435B25" w:rsidRDefault="0001090D" w:rsidP="0001090D">
      <w:pPr>
        <w:spacing w:after="0"/>
        <w:rPr>
          <w:rFonts w:ascii="Arial" w:hAnsi="Arial" w:cs="Arial"/>
          <w:sz w:val="20"/>
          <w:szCs w:val="20"/>
        </w:rPr>
      </w:pPr>
      <w:r w:rsidRPr="00435B25">
        <w:rPr>
          <w:rFonts w:ascii="Arial" w:hAnsi="Arial" w:cs="Arial"/>
          <w:sz w:val="20"/>
          <w:szCs w:val="20"/>
        </w:rPr>
        <w:t>More details can be referred to in the below link.</w:t>
      </w:r>
    </w:p>
    <w:p w:rsidR="0001090D" w:rsidRDefault="0001090D" w:rsidP="0001090D">
      <w:pPr>
        <w:rPr>
          <w:rStyle w:val="Hyperlink"/>
          <w:rFonts w:ascii="Arial" w:hAnsi="Arial" w:cs="Arial"/>
          <w:sz w:val="20"/>
          <w:szCs w:val="20"/>
        </w:rPr>
      </w:pPr>
      <w:r w:rsidRPr="00435B25">
        <w:rPr>
          <w:rFonts w:ascii="Arial" w:hAnsi="Arial" w:cs="Arial"/>
          <w:sz w:val="20"/>
          <w:szCs w:val="20"/>
        </w:rPr>
        <w:lastRenderedPageBreak/>
        <w:t xml:space="preserve">Reference Link: </w:t>
      </w:r>
      <w:hyperlink r:id="rId80" w:history="1">
        <w:r w:rsidRPr="00435B25">
          <w:rPr>
            <w:rStyle w:val="Hyperlink"/>
            <w:rFonts w:ascii="Arial" w:hAnsi="Arial" w:cs="Arial"/>
            <w:sz w:val="20"/>
            <w:szCs w:val="20"/>
          </w:rPr>
          <w:t>https://www.rbi.org.in/scripts/NotificationUser.aspx?Id=12381&amp;Mode=0</w:t>
        </w:r>
      </w:hyperlink>
    </w:p>
    <w:p w:rsidR="0001090D" w:rsidRDefault="0001090D" w:rsidP="0001090D">
      <w:pPr>
        <w:rPr>
          <w:rStyle w:val="Hyperlink"/>
          <w:rFonts w:ascii="Arial" w:hAnsi="Arial" w:cs="Arial"/>
          <w:sz w:val="20"/>
          <w:szCs w:val="20"/>
        </w:rPr>
      </w:pPr>
    </w:p>
    <w:p w:rsidR="0001090D" w:rsidRDefault="0001090D" w:rsidP="0001090D">
      <w:pPr>
        <w:pStyle w:val="NormalWeb"/>
        <w:rPr>
          <w:rFonts w:ascii="Arial" w:hAnsi="Arial" w:cs="Arial"/>
          <w:b/>
          <w:bCs/>
          <w:color w:val="000000"/>
          <w:sz w:val="20"/>
          <w:szCs w:val="20"/>
        </w:rPr>
      </w:pPr>
      <w:r>
        <w:rPr>
          <w:rFonts w:ascii="Arial" w:hAnsi="Arial" w:cs="Arial"/>
          <w:b/>
          <w:bCs/>
          <w:color w:val="000000"/>
          <w:sz w:val="20"/>
          <w:szCs w:val="20"/>
        </w:rPr>
        <w:t>Guidelines on Digital Lending</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RBI/2022-23/111</w:t>
      </w:r>
      <w:r>
        <w:rPr>
          <w:rFonts w:ascii="Arial" w:hAnsi="Arial" w:cs="Arial"/>
          <w:color w:val="000000"/>
          <w:sz w:val="20"/>
          <w:szCs w:val="20"/>
        </w:rPr>
        <w:br/>
        <w:t>DOR.CRE.REC.66/21.07.001/2022-23</w:t>
      </w:r>
    </w:p>
    <w:p w:rsidR="0001090D" w:rsidRDefault="0001090D" w:rsidP="0001090D">
      <w:pPr>
        <w:pStyle w:val="NormalWeb"/>
        <w:jc w:val="right"/>
        <w:rPr>
          <w:rFonts w:ascii="Arial" w:hAnsi="Arial" w:cs="Arial"/>
          <w:color w:val="000000"/>
          <w:sz w:val="20"/>
          <w:szCs w:val="20"/>
        </w:rPr>
      </w:pPr>
      <w:r>
        <w:rPr>
          <w:rFonts w:ascii="Arial" w:hAnsi="Arial" w:cs="Arial"/>
          <w:color w:val="000000"/>
          <w:sz w:val="20"/>
          <w:szCs w:val="20"/>
        </w:rPr>
        <w:t>September 02, 2022</w:t>
      </w:r>
    </w:p>
    <w:p w:rsidR="0001090D" w:rsidRDefault="0001090D" w:rsidP="0001090D">
      <w:pPr>
        <w:pStyle w:val="NormalWeb"/>
        <w:rPr>
          <w:rFonts w:ascii="Arial" w:hAnsi="Arial" w:cs="Arial"/>
          <w:color w:val="000000"/>
          <w:sz w:val="20"/>
          <w:szCs w:val="20"/>
        </w:rPr>
      </w:pPr>
      <w:r>
        <w:rPr>
          <w:rFonts w:ascii="Arial" w:hAnsi="Arial" w:cs="Arial"/>
          <w:color w:val="000000"/>
          <w:sz w:val="20"/>
          <w:szCs w:val="20"/>
        </w:rPr>
        <w:t>All Commercial Banks,</w:t>
      </w:r>
      <w:r>
        <w:rPr>
          <w:rFonts w:ascii="Arial" w:hAnsi="Arial" w:cs="Arial"/>
          <w:color w:val="000000"/>
          <w:sz w:val="20"/>
          <w:szCs w:val="20"/>
        </w:rPr>
        <w:br/>
        <w:t>Primary (Urban) Co-operative Banks, State Co-operative Banks,</w:t>
      </w:r>
      <w:r>
        <w:rPr>
          <w:rFonts w:ascii="Arial" w:hAnsi="Arial" w:cs="Arial"/>
          <w:color w:val="000000"/>
          <w:sz w:val="20"/>
          <w:szCs w:val="20"/>
        </w:rPr>
        <w:br/>
        <w:t>District Central Co-operative Banks; and</w:t>
      </w:r>
      <w:r>
        <w:rPr>
          <w:rFonts w:ascii="Arial" w:hAnsi="Arial" w:cs="Arial"/>
          <w:color w:val="000000"/>
          <w:sz w:val="20"/>
          <w:szCs w:val="20"/>
        </w:rPr>
        <w:br/>
        <w:t>Non-Banking Financial Companies (including Housing Finance Companies)</w:t>
      </w:r>
    </w:p>
    <w:p w:rsidR="0001090D" w:rsidRDefault="0001090D" w:rsidP="0001090D">
      <w:pPr>
        <w:pStyle w:val="NormalWeb"/>
        <w:rPr>
          <w:rFonts w:ascii="Arial" w:hAnsi="Arial" w:cs="Arial"/>
          <w:color w:val="000000"/>
          <w:sz w:val="20"/>
          <w:szCs w:val="20"/>
        </w:rPr>
      </w:pPr>
      <w:r>
        <w:rPr>
          <w:rFonts w:ascii="Arial" w:hAnsi="Arial" w:cs="Arial"/>
          <w:color w:val="000000"/>
          <w:sz w:val="20"/>
          <w:szCs w:val="20"/>
        </w:rPr>
        <w:t>Madam/ Sir,</w:t>
      </w:r>
    </w:p>
    <w:p w:rsidR="0001090D" w:rsidRDefault="0001090D" w:rsidP="0001090D">
      <w:pPr>
        <w:pStyle w:val="head"/>
        <w:jc w:val="center"/>
        <w:rPr>
          <w:rFonts w:ascii="Arial" w:hAnsi="Arial" w:cs="Arial"/>
          <w:b/>
          <w:bCs/>
          <w:color w:val="000000"/>
          <w:sz w:val="20"/>
          <w:szCs w:val="20"/>
        </w:rPr>
      </w:pPr>
      <w:r>
        <w:rPr>
          <w:rFonts w:ascii="Arial" w:hAnsi="Arial" w:cs="Arial"/>
          <w:b/>
          <w:bCs/>
          <w:color w:val="000000"/>
          <w:sz w:val="20"/>
          <w:szCs w:val="20"/>
        </w:rPr>
        <w:t>Guidelines on Digital Lending</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A reference is invited to para 7 of the </w:t>
      </w:r>
      <w:hyperlink r:id="rId81" w:tgtFrame="_blank" w:history="1">
        <w:r>
          <w:rPr>
            <w:rStyle w:val="Hyperlink"/>
            <w:rFonts w:ascii="Arial" w:hAnsi="Arial" w:cs="Arial"/>
            <w:sz w:val="20"/>
            <w:szCs w:val="20"/>
          </w:rPr>
          <w:t>RBI Press Release “Recommendations of the Working Group on Digital Lending – Implementation” dated August 10, 2022</w:t>
        </w:r>
      </w:hyperlink>
      <w:r>
        <w:rPr>
          <w:rFonts w:ascii="Arial" w:hAnsi="Arial" w:cs="Arial"/>
          <w:color w:val="000000"/>
          <w:sz w:val="20"/>
          <w:szCs w:val="20"/>
        </w:rPr>
        <w:t>. Detailed guidelines on recommendations of the Working Group accepted for immediate implementation are attached as </w:t>
      </w:r>
      <w:hyperlink r:id="rId82" w:anchor="AN1" w:history="1">
        <w:r>
          <w:rPr>
            <w:rStyle w:val="Hyperlink"/>
            <w:rFonts w:ascii="Arial" w:hAnsi="Arial" w:cs="Arial"/>
            <w:sz w:val="20"/>
            <w:szCs w:val="20"/>
          </w:rPr>
          <w:t>Annex I</w:t>
        </w:r>
      </w:hyperlink>
      <w:r>
        <w:rPr>
          <w:rFonts w:ascii="Arial" w:hAnsi="Arial" w:cs="Arial"/>
          <w:color w:val="000000"/>
          <w:sz w:val="20"/>
          <w:szCs w:val="20"/>
        </w:rPr>
        <w:t> to this circular.</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2. It is reiterated that outsourcing arrangements entered by Regulated Entities (REs) with a Lending Service Provider (LSP)/ Digital Lending App (DLA) does not diminish the REs’ obligations and they shall continue to conform to the extant guidelines on outsourcing</w:t>
      </w:r>
      <w:hyperlink r:id="rId83" w:anchor="F1" w:history="1">
        <w:r>
          <w:rPr>
            <w:rStyle w:val="Hyperlink"/>
            <w:rFonts w:ascii="Arial" w:hAnsi="Arial" w:cs="Arial"/>
            <w:sz w:val="15"/>
            <w:szCs w:val="15"/>
            <w:vertAlign w:val="superscript"/>
          </w:rPr>
          <w:t>1</w:t>
        </w:r>
      </w:hyperlink>
      <w:r>
        <w:rPr>
          <w:rFonts w:ascii="Arial" w:hAnsi="Arial" w:cs="Arial"/>
          <w:color w:val="000000"/>
          <w:sz w:val="20"/>
          <w:szCs w:val="20"/>
        </w:rPr>
        <w:t>. The REs are advised to ensure that the LSPs engaged by them and the DLAs (either of the RE or of the LSP engaged by the RE) comply with the guidelines contained in this circular.</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 xml:space="preserve">3. It is further advised that the instructions contained in this circular shall be applicable to the ‘existing customers availing fresh loans’ and to ‘new customers getting </w:t>
      </w:r>
      <w:proofErr w:type="spellStart"/>
      <w:r>
        <w:rPr>
          <w:rFonts w:ascii="Arial" w:hAnsi="Arial" w:cs="Arial"/>
          <w:color w:val="000000"/>
          <w:sz w:val="20"/>
          <w:szCs w:val="20"/>
        </w:rPr>
        <w:t>onboarded</w:t>
      </w:r>
      <w:proofErr w:type="spellEnd"/>
      <w:r>
        <w:rPr>
          <w:rFonts w:ascii="Arial" w:hAnsi="Arial" w:cs="Arial"/>
          <w:color w:val="000000"/>
          <w:sz w:val="20"/>
          <w:szCs w:val="20"/>
        </w:rPr>
        <w:t>’, from the date of this circular. However, in order to ensure a smooth transition, REs shall be given time till November 30, 2022, to put in place adequate systems and processes to ensure that ‘existing digital loans’ (sanctioned as on the date of the circular) are also in compliance with these guidelines in both letter and spirit.</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4. These directions are issued under sections 21, 35A and 56 of the Banking Regulation Act, 1949, sections 45JA, 45L and 45M of the Reserve Bank of India Act, 1934, sections 30A and 32 of the National Housing Bank Act, 1987, section 6 of the Factoring Regulation Act, 2011 and section 11 of the Credit Information Companies (Regulation) Act, 2005.</w:t>
      </w:r>
    </w:p>
    <w:p w:rsidR="0001090D" w:rsidRDefault="0001090D" w:rsidP="0001090D">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rsidR="0001090D" w:rsidRDefault="0001090D" w:rsidP="0001090D">
      <w:pPr>
        <w:pStyle w:val="NormalWeb"/>
        <w:spacing w:before="0" w:before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01090D" w:rsidRDefault="0001090D" w:rsidP="0001090D">
      <w:pPr>
        <w:spacing w:before="240" w:after="240"/>
        <w:rPr>
          <w:rFonts w:ascii="Times New Roman" w:hAnsi="Times New Roman" w:cs="Times New Roman"/>
          <w:sz w:val="24"/>
          <w:szCs w:val="24"/>
        </w:rPr>
      </w:pPr>
    </w:p>
    <w:p w:rsidR="0001090D" w:rsidRDefault="0001090D" w:rsidP="0001090D">
      <w:pPr>
        <w:spacing w:before="240" w:after="240"/>
        <w:rPr>
          <w:rFonts w:ascii="Times New Roman" w:hAnsi="Times New Roman" w:cs="Times New Roman"/>
          <w:sz w:val="24"/>
          <w:szCs w:val="24"/>
        </w:rPr>
      </w:pPr>
    </w:p>
    <w:p w:rsidR="0001090D" w:rsidRDefault="0001090D" w:rsidP="0001090D">
      <w:r>
        <w:t>More details can be referred to in the below link.</w:t>
      </w:r>
    </w:p>
    <w:p w:rsidR="0001090D" w:rsidRDefault="0001090D" w:rsidP="0001090D">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84" w:history="1">
        <w:r w:rsidRPr="006865D6">
          <w:rPr>
            <w:rStyle w:val="Hyperlink"/>
            <w:rFonts w:ascii="Arial" w:hAnsi="Arial" w:cs="Arial"/>
            <w:bCs/>
            <w:sz w:val="20"/>
            <w:szCs w:val="20"/>
          </w:rPr>
          <w:t>https://rbi.org.in/Scripts/BS_CircularIndexDisplay.aspx?Id=12382</w:t>
        </w:r>
      </w:hyperlink>
    </w:p>
    <w:p w:rsidR="0001090D" w:rsidRDefault="0001090D" w:rsidP="0001090D">
      <w:pPr>
        <w:pStyle w:val="NormalWeb"/>
        <w:rPr>
          <w:rFonts w:ascii="Arial" w:hAnsi="Arial" w:cs="Arial"/>
          <w:bCs/>
          <w:color w:val="000000"/>
          <w:sz w:val="20"/>
          <w:szCs w:val="20"/>
        </w:rPr>
      </w:pPr>
    </w:p>
    <w:p w:rsidR="0001090D" w:rsidRDefault="0001090D" w:rsidP="0001090D">
      <w:pPr>
        <w:pStyle w:val="NormalWeb"/>
        <w:rPr>
          <w:rFonts w:ascii="Arial" w:hAnsi="Arial" w:cs="Arial"/>
          <w:color w:val="000000"/>
          <w:sz w:val="20"/>
          <w:szCs w:val="20"/>
        </w:rPr>
      </w:pPr>
    </w:p>
    <w:p w:rsidR="0001090D" w:rsidRDefault="0001090D" w:rsidP="0001090D">
      <w:pPr>
        <w:pStyle w:val="NormalWeb"/>
        <w:rPr>
          <w:rFonts w:ascii="Arial" w:hAnsi="Arial" w:cs="Arial"/>
          <w:color w:val="000000"/>
          <w:sz w:val="20"/>
          <w:szCs w:val="20"/>
        </w:rPr>
      </w:pPr>
    </w:p>
    <w:p w:rsidR="0001090D" w:rsidRDefault="0001090D" w:rsidP="0001090D">
      <w:pPr>
        <w:rPr>
          <w:rFonts w:ascii="Arial" w:hAnsi="Arial" w:cs="Arial"/>
          <w:bCs/>
          <w:color w:val="000000"/>
          <w:sz w:val="20"/>
          <w:szCs w:val="20"/>
        </w:rPr>
      </w:pPr>
    </w:p>
    <w:p w:rsidR="0001090D" w:rsidRDefault="0001090D" w:rsidP="0001090D">
      <w:pPr>
        <w:pStyle w:val="NormalWeb"/>
        <w:rPr>
          <w:rFonts w:ascii="Arial" w:hAnsi="Arial" w:cs="Arial"/>
          <w:b/>
          <w:bCs/>
          <w:color w:val="000000"/>
          <w:sz w:val="20"/>
          <w:szCs w:val="20"/>
        </w:rPr>
      </w:pPr>
      <w:r>
        <w:rPr>
          <w:rFonts w:ascii="Arial" w:hAnsi="Arial" w:cs="Arial"/>
          <w:b/>
          <w:bCs/>
          <w:color w:val="000000"/>
          <w:sz w:val="20"/>
          <w:szCs w:val="20"/>
        </w:rPr>
        <w:t>Incentive for improving service to non-chest branches</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RBI/2022-23/112</w:t>
      </w:r>
      <w:r>
        <w:rPr>
          <w:rFonts w:ascii="Arial" w:hAnsi="Arial" w:cs="Arial"/>
          <w:color w:val="000000"/>
          <w:sz w:val="20"/>
          <w:szCs w:val="20"/>
        </w:rPr>
        <w:br/>
        <w:t>DCM (NPD) No.S770/09.40.002/2022-23</w:t>
      </w:r>
    </w:p>
    <w:p w:rsidR="0001090D" w:rsidRDefault="0001090D" w:rsidP="0001090D">
      <w:pPr>
        <w:pStyle w:val="NormalWeb"/>
        <w:jc w:val="right"/>
        <w:rPr>
          <w:rFonts w:ascii="Arial" w:hAnsi="Arial" w:cs="Arial"/>
          <w:color w:val="000000"/>
          <w:sz w:val="20"/>
          <w:szCs w:val="20"/>
        </w:rPr>
      </w:pPr>
      <w:r>
        <w:rPr>
          <w:rFonts w:ascii="Arial" w:hAnsi="Arial" w:cs="Arial"/>
          <w:color w:val="000000"/>
          <w:sz w:val="20"/>
          <w:szCs w:val="20"/>
        </w:rPr>
        <w:t>September 06, 2022</w:t>
      </w:r>
    </w:p>
    <w:p w:rsidR="0001090D" w:rsidRDefault="0001090D" w:rsidP="0001090D">
      <w:pPr>
        <w:pStyle w:val="NormalWeb"/>
        <w:rPr>
          <w:rFonts w:ascii="Arial" w:hAnsi="Arial" w:cs="Arial"/>
          <w:color w:val="000000"/>
          <w:sz w:val="20"/>
          <w:szCs w:val="20"/>
        </w:rPr>
      </w:pPr>
      <w:r>
        <w:rPr>
          <w:rFonts w:ascii="Arial" w:hAnsi="Arial" w:cs="Arial"/>
          <w:color w:val="000000"/>
          <w:sz w:val="20"/>
          <w:szCs w:val="20"/>
        </w:rPr>
        <w:t>The Chairman &amp; Managing Director</w:t>
      </w:r>
      <w:r>
        <w:rPr>
          <w:rFonts w:ascii="Arial" w:hAnsi="Arial" w:cs="Arial"/>
          <w:color w:val="000000"/>
          <w:sz w:val="20"/>
          <w:szCs w:val="20"/>
        </w:rPr>
        <w:br/>
        <w:t>Managing Director/ Chief Executive Officer</w:t>
      </w:r>
      <w:r>
        <w:rPr>
          <w:rFonts w:ascii="Arial" w:hAnsi="Arial" w:cs="Arial"/>
          <w:color w:val="000000"/>
          <w:sz w:val="20"/>
          <w:szCs w:val="20"/>
        </w:rPr>
        <w:br/>
        <w:t>All Banks having Currency Chests</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Madam/ Sir,</w:t>
      </w:r>
    </w:p>
    <w:p w:rsidR="0001090D" w:rsidRDefault="0001090D" w:rsidP="0001090D">
      <w:pPr>
        <w:pStyle w:val="head"/>
        <w:jc w:val="both"/>
        <w:rPr>
          <w:rFonts w:ascii="Arial" w:hAnsi="Arial" w:cs="Arial"/>
          <w:b/>
          <w:bCs/>
          <w:color w:val="000000"/>
          <w:sz w:val="20"/>
          <w:szCs w:val="20"/>
        </w:rPr>
      </w:pPr>
      <w:r>
        <w:rPr>
          <w:rFonts w:ascii="Arial" w:hAnsi="Arial" w:cs="Arial"/>
          <w:b/>
          <w:bCs/>
          <w:color w:val="000000"/>
          <w:sz w:val="20"/>
          <w:szCs w:val="20"/>
          <w:u w:val="single"/>
        </w:rPr>
        <w:t>Incentive for improving service to non-chest branches</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Please refer to </w:t>
      </w:r>
      <w:hyperlink r:id="rId85" w:tgtFrame="_blank" w:history="1">
        <w:r>
          <w:rPr>
            <w:rStyle w:val="Hyperlink"/>
            <w:rFonts w:ascii="Arial" w:hAnsi="Arial" w:cs="Arial"/>
            <w:sz w:val="20"/>
            <w:szCs w:val="20"/>
          </w:rPr>
          <w:t>circulars RBI/ 2015-16/ 293 DCM (NPD) No. 2564/ 09.40.02/ 2015-16 dated January 21, 2016</w:t>
        </w:r>
      </w:hyperlink>
      <w:r>
        <w:rPr>
          <w:rFonts w:ascii="Arial" w:hAnsi="Arial" w:cs="Arial"/>
          <w:color w:val="000000"/>
          <w:sz w:val="20"/>
          <w:szCs w:val="20"/>
        </w:rPr>
        <w:t> and </w:t>
      </w:r>
      <w:hyperlink r:id="rId86" w:tgtFrame="_blank" w:history="1">
        <w:r>
          <w:rPr>
            <w:rStyle w:val="Hyperlink"/>
            <w:rFonts w:ascii="Arial" w:hAnsi="Arial" w:cs="Arial"/>
            <w:sz w:val="20"/>
            <w:szCs w:val="20"/>
          </w:rPr>
          <w:t>DCM (</w:t>
        </w:r>
        <w:proofErr w:type="spellStart"/>
        <w:r>
          <w:rPr>
            <w:rStyle w:val="Hyperlink"/>
            <w:rFonts w:ascii="Arial" w:hAnsi="Arial" w:cs="Arial"/>
            <w:sz w:val="20"/>
            <w:szCs w:val="20"/>
          </w:rPr>
          <w:t>Plg</w:t>
        </w:r>
        <w:proofErr w:type="spellEnd"/>
        <w:r>
          <w:rPr>
            <w:rStyle w:val="Hyperlink"/>
            <w:rFonts w:ascii="Arial" w:hAnsi="Arial" w:cs="Arial"/>
            <w:sz w:val="20"/>
            <w:szCs w:val="20"/>
          </w:rPr>
          <w:t>.) No 2845/ 10.25.007/2018-19 dated May 23, 2019</w:t>
        </w:r>
      </w:hyperlink>
      <w:r>
        <w:rPr>
          <w:rFonts w:ascii="Arial" w:hAnsi="Arial" w:cs="Arial"/>
          <w:color w:val="000000"/>
          <w:sz w:val="20"/>
          <w:szCs w:val="20"/>
        </w:rPr>
        <w:t> on the captioned subject.</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2. We have been receiving queries regarding the applicability of GST on the service charges levied on cash deposited by non-chest bank branches to the Currency Chests. It is clarified that the amount indicated in the aforesaid circulars are exclusive of applicable taxes. Accordingly, the service charges mentioned in the aforesaid circulars is to be read as ₹5 </w:t>
      </w:r>
      <w:r>
        <w:rPr>
          <w:rFonts w:ascii="Arial" w:hAnsi="Arial" w:cs="Arial"/>
          <w:color w:val="000000"/>
          <w:sz w:val="20"/>
          <w:szCs w:val="20"/>
          <w:u w:val="single"/>
        </w:rPr>
        <w:t>plus applicable taxes</w:t>
      </w:r>
      <w:r>
        <w:rPr>
          <w:rFonts w:ascii="Arial" w:hAnsi="Arial" w:cs="Arial"/>
          <w:color w:val="000000"/>
          <w:sz w:val="20"/>
          <w:szCs w:val="20"/>
        </w:rPr>
        <w:t> per packet and ₹8 </w:t>
      </w:r>
      <w:r>
        <w:rPr>
          <w:rFonts w:ascii="Arial" w:hAnsi="Arial" w:cs="Arial"/>
          <w:color w:val="000000"/>
          <w:sz w:val="20"/>
          <w:szCs w:val="20"/>
          <w:u w:val="single"/>
        </w:rPr>
        <w:t>plus applicable taxes</w:t>
      </w:r>
      <w:r>
        <w:rPr>
          <w:rFonts w:ascii="Arial" w:hAnsi="Arial" w:cs="Arial"/>
          <w:color w:val="000000"/>
          <w:sz w:val="20"/>
          <w:szCs w:val="20"/>
        </w:rPr>
        <w:t> per packet, as the case may be.</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Yours faithfully,</w:t>
      </w:r>
    </w:p>
    <w:p w:rsidR="0001090D" w:rsidRDefault="0001090D" w:rsidP="0001090D">
      <w:pPr>
        <w:pStyle w:val="NormalWeb"/>
        <w:rPr>
          <w:rFonts w:ascii="Arial" w:hAnsi="Arial" w:cs="Arial"/>
          <w:color w:val="000000"/>
          <w:sz w:val="20"/>
          <w:szCs w:val="20"/>
        </w:rPr>
      </w:pPr>
      <w:r>
        <w:rPr>
          <w:rFonts w:ascii="Arial" w:hAnsi="Arial" w:cs="Arial"/>
          <w:color w:val="000000"/>
          <w:sz w:val="20"/>
          <w:szCs w:val="20"/>
        </w:rPr>
        <w:t>(Sanjeev Prakash)</w:t>
      </w:r>
      <w:r>
        <w:rPr>
          <w:rFonts w:ascii="Arial" w:hAnsi="Arial" w:cs="Arial"/>
          <w:color w:val="000000"/>
          <w:sz w:val="20"/>
          <w:szCs w:val="20"/>
        </w:rPr>
        <w:br/>
        <w:t>Chief General Manager</w:t>
      </w:r>
    </w:p>
    <w:p w:rsidR="0001090D" w:rsidRDefault="0001090D" w:rsidP="0001090D">
      <w:pPr>
        <w:pStyle w:val="NormalWeb"/>
        <w:rPr>
          <w:rFonts w:ascii="Arial" w:hAnsi="Arial" w:cs="Arial"/>
          <w:color w:val="000000"/>
          <w:sz w:val="20"/>
          <w:szCs w:val="20"/>
        </w:rPr>
      </w:pPr>
    </w:p>
    <w:p w:rsidR="0001090D" w:rsidRDefault="0001090D" w:rsidP="0001090D">
      <w:pPr>
        <w:pStyle w:val="NormalWeb"/>
        <w:rPr>
          <w:rFonts w:ascii="Arial" w:hAnsi="Arial" w:cs="Arial"/>
          <w:color w:val="000000"/>
          <w:sz w:val="20"/>
          <w:szCs w:val="20"/>
        </w:rPr>
      </w:pPr>
    </w:p>
    <w:p w:rsidR="0001090D" w:rsidRDefault="0001090D" w:rsidP="0001090D">
      <w:r>
        <w:t>More details can be referred to in the below link.</w:t>
      </w:r>
    </w:p>
    <w:p w:rsidR="0001090D" w:rsidRDefault="0001090D" w:rsidP="0001090D">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87" w:history="1">
        <w:r w:rsidRPr="006865D6">
          <w:rPr>
            <w:rStyle w:val="Hyperlink"/>
            <w:rFonts w:ascii="Arial" w:hAnsi="Arial" w:cs="Arial"/>
            <w:bCs/>
            <w:sz w:val="20"/>
            <w:szCs w:val="20"/>
          </w:rPr>
          <w:t>https://www.rbi.org.in/scripts/NotificationUser.aspx?Id=12383&amp;Mode=0</w:t>
        </w:r>
      </w:hyperlink>
    </w:p>
    <w:p w:rsidR="0001090D" w:rsidRDefault="0001090D" w:rsidP="0001090D">
      <w:pPr>
        <w:rPr>
          <w:rFonts w:ascii="Arial" w:hAnsi="Arial" w:cs="Arial"/>
          <w:bCs/>
          <w:color w:val="000000"/>
          <w:sz w:val="20"/>
          <w:szCs w:val="20"/>
        </w:rPr>
      </w:pPr>
    </w:p>
    <w:p w:rsidR="0001090D" w:rsidRDefault="0001090D" w:rsidP="0001090D">
      <w:pPr>
        <w:rPr>
          <w:rFonts w:ascii="Arial" w:hAnsi="Arial" w:cs="Arial"/>
          <w:bCs/>
          <w:color w:val="000000"/>
          <w:sz w:val="20"/>
          <w:szCs w:val="20"/>
        </w:rPr>
      </w:pPr>
    </w:p>
    <w:p w:rsidR="0001090D" w:rsidRDefault="0001090D" w:rsidP="0001090D">
      <w:pPr>
        <w:rPr>
          <w:rFonts w:ascii="Arial" w:hAnsi="Arial" w:cs="Arial"/>
          <w:bCs/>
          <w:color w:val="000000"/>
          <w:sz w:val="20"/>
          <w:szCs w:val="20"/>
        </w:rPr>
      </w:pPr>
    </w:p>
    <w:p w:rsidR="0001090D" w:rsidRDefault="0001090D" w:rsidP="0001090D">
      <w:pPr>
        <w:rPr>
          <w:rFonts w:ascii="Arial" w:hAnsi="Arial" w:cs="Arial"/>
          <w:bCs/>
          <w:color w:val="000000"/>
          <w:sz w:val="20"/>
          <w:szCs w:val="20"/>
        </w:rPr>
      </w:pPr>
    </w:p>
    <w:p w:rsidR="0001090D" w:rsidRDefault="0001090D" w:rsidP="0001090D">
      <w:pPr>
        <w:rPr>
          <w:rFonts w:ascii="Arial" w:hAnsi="Arial" w:cs="Arial"/>
          <w:bCs/>
          <w:color w:val="000000"/>
          <w:sz w:val="20"/>
          <w:szCs w:val="20"/>
        </w:rPr>
      </w:pPr>
    </w:p>
    <w:p w:rsidR="0001090D" w:rsidRDefault="0001090D" w:rsidP="0001090D">
      <w:pPr>
        <w:rPr>
          <w:rFonts w:ascii="Arial" w:hAnsi="Arial" w:cs="Arial"/>
          <w:bCs/>
          <w:color w:val="000000"/>
          <w:sz w:val="20"/>
          <w:szCs w:val="20"/>
        </w:rPr>
      </w:pPr>
    </w:p>
    <w:p w:rsidR="0001090D" w:rsidRDefault="0001090D" w:rsidP="0001090D">
      <w:pPr>
        <w:rPr>
          <w:rFonts w:ascii="Arial" w:hAnsi="Arial" w:cs="Arial"/>
          <w:bCs/>
          <w:color w:val="000000"/>
          <w:sz w:val="20"/>
          <w:szCs w:val="20"/>
        </w:rPr>
      </w:pPr>
    </w:p>
    <w:p w:rsidR="0001090D" w:rsidRDefault="0001090D" w:rsidP="0001090D">
      <w:pPr>
        <w:rPr>
          <w:rFonts w:ascii="Arial" w:hAnsi="Arial" w:cs="Arial"/>
          <w:bCs/>
          <w:color w:val="000000"/>
          <w:sz w:val="20"/>
          <w:szCs w:val="20"/>
        </w:rPr>
      </w:pPr>
    </w:p>
    <w:p w:rsidR="0001090D" w:rsidRDefault="0001090D" w:rsidP="0001090D">
      <w:pPr>
        <w:rPr>
          <w:rFonts w:ascii="Arial" w:hAnsi="Arial" w:cs="Arial"/>
          <w:bCs/>
          <w:color w:val="000000"/>
          <w:sz w:val="20"/>
          <w:szCs w:val="20"/>
        </w:rPr>
      </w:pPr>
    </w:p>
    <w:p w:rsidR="0001090D" w:rsidRDefault="0001090D" w:rsidP="0001090D">
      <w:pPr>
        <w:rPr>
          <w:rFonts w:ascii="Arial" w:hAnsi="Arial" w:cs="Arial"/>
          <w:bCs/>
          <w:color w:val="000000"/>
          <w:sz w:val="20"/>
          <w:szCs w:val="20"/>
        </w:rPr>
      </w:pPr>
    </w:p>
    <w:p w:rsidR="0001090D" w:rsidRDefault="0001090D" w:rsidP="0001090D">
      <w:pPr>
        <w:rPr>
          <w:rFonts w:ascii="Arial" w:hAnsi="Arial" w:cs="Arial"/>
          <w:bCs/>
          <w:color w:val="000000"/>
          <w:sz w:val="20"/>
          <w:szCs w:val="20"/>
        </w:rPr>
      </w:pPr>
    </w:p>
    <w:p w:rsidR="0001090D" w:rsidRDefault="0001090D" w:rsidP="0001090D">
      <w:pPr>
        <w:rPr>
          <w:rFonts w:ascii="Arial" w:hAnsi="Arial" w:cs="Arial"/>
          <w:b/>
          <w:bCs/>
          <w:color w:val="000000"/>
          <w:sz w:val="20"/>
          <w:szCs w:val="20"/>
        </w:rPr>
      </w:pPr>
      <w:r>
        <w:rPr>
          <w:rFonts w:ascii="Arial" w:hAnsi="Arial" w:cs="Arial"/>
          <w:b/>
          <w:bCs/>
          <w:color w:val="000000"/>
          <w:sz w:val="20"/>
          <w:szCs w:val="20"/>
        </w:rPr>
        <w:t>Review of Prudential Norms – Risk Weights for Exposures guaranteed by Credit Guarantee Schemes (CGS)</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RBI/2022-23/113</w:t>
      </w:r>
      <w:r>
        <w:rPr>
          <w:rFonts w:ascii="Arial" w:hAnsi="Arial" w:cs="Arial"/>
          <w:color w:val="000000"/>
          <w:sz w:val="20"/>
          <w:szCs w:val="20"/>
        </w:rPr>
        <w:br/>
        <w:t>DOR.STR.REC.67/21.06.201/2022-23</w:t>
      </w:r>
    </w:p>
    <w:p w:rsidR="0001090D" w:rsidRDefault="0001090D" w:rsidP="0001090D">
      <w:pPr>
        <w:pStyle w:val="NormalWeb"/>
        <w:jc w:val="right"/>
        <w:rPr>
          <w:rFonts w:ascii="Arial" w:hAnsi="Arial" w:cs="Arial"/>
          <w:color w:val="000000"/>
          <w:sz w:val="20"/>
          <w:szCs w:val="20"/>
        </w:rPr>
      </w:pPr>
      <w:r>
        <w:rPr>
          <w:rFonts w:ascii="Arial" w:hAnsi="Arial" w:cs="Arial"/>
          <w:color w:val="000000"/>
          <w:sz w:val="20"/>
          <w:szCs w:val="20"/>
        </w:rPr>
        <w:t>September 07, 2022</w:t>
      </w:r>
    </w:p>
    <w:p w:rsidR="0001090D" w:rsidRDefault="0001090D" w:rsidP="0001090D">
      <w:pPr>
        <w:pStyle w:val="NormalWeb"/>
        <w:rPr>
          <w:rFonts w:ascii="Arial" w:hAnsi="Arial" w:cs="Arial"/>
          <w:color w:val="000000"/>
          <w:sz w:val="20"/>
          <w:szCs w:val="20"/>
        </w:rPr>
      </w:pPr>
      <w:r>
        <w:rPr>
          <w:rFonts w:ascii="Arial" w:hAnsi="Arial" w:cs="Arial"/>
          <w:color w:val="000000"/>
          <w:sz w:val="20"/>
          <w:szCs w:val="20"/>
        </w:rPr>
        <w:t>All Scheduled Commercial Banks (including Regional Rural Banks)</w:t>
      </w:r>
      <w:r>
        <w:rPr>
          <w:rFonts w:ascii="Arial" w:hAnsi="Arial" w:cs="Arial"/>
          <w:color w:val="000000"/>
          <w:sz w:val="20"/>
          <w:szCs w:val="20"/>
        </w:rPr>
        <w:br/>
        <w:t>All Primary (Urban) Co-operative Banks</w:t>
      </w:r>
      <w:r>
        <w:rPr>
          <w:rFonts w:ascii="Arial" w:hAnsi="Arial" w:cs="Arial"/>
          <w:color w:val="000000"/>
          <w:sz w:val="20"/>
          <w:szCs w:val="20"/>
        </w:rPr>
        <w:br/>
        <w:t>All Non-Banking Financial Companies (including Housing Finance Companies)</w:t>
      </w:r>
      <w:r>
        <w:rPr>
          <w:rFonts w:ascii="Arial" w:hAnsi="Arial" w:cs="Arial"/>
          <w:color w:val="000000"/>
          <w:sz w:val="20"/>
          <w:szCs w:val="20"/>
        </w:rPr>
        <w:br/>
        <w:t>All All-India Financial Institutions</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Dear Sir/Madam,</w:t>
      </w:r>
    </w:p>
    <w:p w:rsidR="0001090D" w:rsidRDefault="0001090D" w:rsidP="0001090D">
      <w:pPr>
        <w:pStyle w:val="head"/>
        <w:jc w:val="both"/>
        <w:rPr>
          <w:rFonts w:ascii="Arial" w:hAnsi="Arial" w:cs="Arial"/>
          <w:b/>
          <w:bCs/>
          <w:color w:val="000000"/>
          <w:sz w:val="20"/>
          <w:szCs w:val="20"/>
        </w:rPr>
      </w:pPr>
      <w:r>
        <w:rPr>
          <w:rFonts w:ascii="Arial" w:hAnsi="Arial" w:cs="Arial"/>
          <w:b/>
          <w:bCs/>
          <w:color w:val="000000"/>
          <w:sz w:val="20"/>
          <w:szCs w:val="20"/>
        </w:rPr>
        <w:t>Review of Prudential Norms – Risk Weights for Exposures guaranteed by Credit Guarantee Schemes (CGS)</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Please refer to paragraph 5.2 of the </w:t>
      </w:r>
      <w:hyperlink r:id="rId88" w:tgtFrame="_blank" w:history="1">
        <w:r>
          <w:rPr>
            <w:rStyle w:val="Hyperlink"/>
            <w:rFonts w:ascii="Arial" w:hAnsi="Arial" w:cs="Arial"/>
            <w:sz w:val="20"/>
            <w:szCs w:val="20"/>
          </w:rPr>
          <w:t>Master Circular on Basel III Capital Regulations dated April 1, 2022</w:t>
        </w:r>
      </w:hyperlink>
      <w:r>
        <w:rPr>
          <w:rFonts w:ascii="Arial" w:hAnsi="Arial" w:cs="Arial"/>
          <w:color w:val="000000"/>
          <w:sz w:val="20"/>
          <w:szCs w:val="20"/>
        </w:rPr>
        <w:t> in terms of which banks are permitted to apply zero percent risk weights in respect of claims on Credit Guarantee Fund Trust for Micro and Small Enterprises (CGTMSE), Credit Risk Guarantee Fund Trust for Low Income Housing (CRGFTLIH) and individual schemes under National Credit Guarantee Trustee Company Ltd (NCGTC).</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2. In order to have a consistent approach with regard to risk weights for exposures guaranteed by such Trust Funds, it is advised that the risk weight of zero percent shall be applicable in respect of exposures guaranteed under any existing or future schemes launched by CGTMSE, CRGFTLIH and NCGTC satisfying the following conditions:</w:t>
      </w:r>
    </w:p>
    <w:p w:rsidR="0001090D" w:rsidRDefault="0001090D" w:rsidP="00DA1141">
      <w:pPr>
        <w:pStyle w:val="NormalWeb"/>
        <w:numPr>
          <w:ilvl w:val="0"/>
          <w:numId w:val="12"/>
        </w:numPr>
        <w:ind w:left="0"/>
        <w:jc w:val="both"/>
        <w:rPr>
          <w:rFonts w:ascii="Arial" w:hAnsi="Arial" w:cs="Arial"/>
          <w:color w:val="000000"/>
          <w:sz w:val="20"/>
          <w:szCs w:val="20"/>
        </w:rPr>
      </w:pPr>
      <w:r>
        <w:rPr>
          <w:rStyle w:val="head1"/>
          <w:rFonts w:ascii="Arial" w:hAnsi="Arial" w:cs="Arial"/>
          <w:b/>
          <w:bCs/>
          <w:color w:val="000000"/>
          <w:sz w:val="20"/>
          <w:szCs w:val="20"/>
        </w:rPr>
        <w:t>Prudential Aspects:</w:t>
      </w:r>
      <w:r>
        <w:rPr>
          <w:rFonts w:ascii="Arial" w:hAnsi="Arial" w:cs="Arial"/>
          <w:color w:val="000000"/>
          <w:sz w:val="20"/>
          <w:szCs w:val="20"/>
        </w:rPr>
        <w:t> The guarantees provided under the respective schemes should comply with the requirements for credit risk mitigation in terms of paragraph 7.5 of the </w:t>
      </w:r>
      <w:hyperlink r:id="rId89" w:tgtFrame="_blank" w:history="1">
        <w:r>
          <w:rPr>
            <w:rStyle w:val="Hyperlink"/>
            <w:rFonts w:ascii="Arial" w:hAnsi="Arial" w:cs="Arial"/>
            <w:sz w:val="20"/>
            <w:szCs w:val="20"/>
          </w:rPr>
          <w:t>Master Circular on Basel III Capital Regulations dated April 1, 2022</w:t>
        </w:r>
      </w:hyperlink>
      <w:r>
        <w:rPr>
          <w:rFonts w:ascii="Arial" w:hAnsi="Arial" w:cs="Arial"/>
          <w:color w:val="000000"/>
          <w:sz w:val="20"/>
          <w:szCs w:val="20"/>
        </w:rPr>
        <w:t> which inter alia requires such guarantees to be direct, explicit, irrevocable and unconditional;</w:t>
      </w:r>
    </w:p>
    <w:p w:rsidR="0001090D" w:rsidRDefault="0001090D" w:rsidP="00DA1141">
      <w:pPr>
        <w:pStyle w:val="NormalWeb"/>
        <w:numPr>
          <w:ilvl w:val="0"/>
          <w:numId w:val="12"/>
        </w:numPr>
        <w:ind w:left="0"/>
        <w:jc w:val="both"/>
        <w:rPr>
          <w:rFonts w:ascii="Arial" w:hAnsi="Arial" w:cs="Arial"/>
          <w:color w:val="000000"/>
          <w:sz w:val="20"/>
          <w:szCs w:val="20"/>
        </w:rPr>
      </w:pPr>
      <w:r>
        <w:rPr>
          <w:rStyle w:val="head1"/>
          <w:rFonts w:ascii="Arial" w:hAnsi="Arial" w:cs="Arial"/>
          <w:b/>
          <w:bCs/>
          <w:color w:val="000000"/>
          <w:sz w:val="20"/>
          <w:szCs w:val="20"/>
        </w:rPr>
        <w:t>Restrictions on permissible claims:</w:t>
      </w:r>
      <w:r>
        <w:rPr>
          <w:rFonts w:ascii="Arial" w:hAnsi="Arial" w:cs="Arial"/>
          <w:color w:val="000000"/>
          <w:sz w:val="20"/>
          <w:szCs w:val="20"/>
        </w:rPr>
        <w:t xml:space="preserve"> Where the terms of the guarantee schemes restrict the maximum permissible claims through features like specified extent of guarantee coverage, clause on first loss absorption by member lending institutions (MLI), </w:t>
      </w:r>
      <w:proofErr w:type="spellStart"/>
      <w:r>
        <w:rPr>
          <w:rFonts w:ascii="Arial" w:hAnsi="Arial" w:cs="Arial"/>
          <w:color w:val="000000"/>
          <w:sz w:val="20"/>
          <w:szCs w:val="20"/>
        </w:rPr>
        <w:t>payout</w:t>
      </w:r>
      <w:proofErr w:type="spellEnd"/>
      <w:r>
        <w:rPr>
          <w:rFonts w:ascii="Arial" w:hAnsi="Arial" w:cs="Arial"/>
          <w:color w:val="000000"/>
          <w:sz w:val="20"/>
          <w:szCs w:val="20"/>
        </w:rPr>
        <w:t xml:space="preserve"> cap, etc., the zero percent risk weight shall be restricted to the maximum permissible claim and the residual exposure shall be subjected to risk weight as applicable to the counterparty in terms of extant regulations.</w:t>
      </w:r>
    </w:p>
    <w:p w:rsidR="0001090D" w:rsidRDefault="0001090D" w:rsidP="00DA1141">
      <w:pPr>
        <w:pStyle w:val="NormalWeb"/>
        <w:numPr>
          <w:ilvl w:val="0"/>
          <w:numId w:val="12"/>
        </w:numPr>
        <w:ind w:left="0"/>
        <w:jc w:val="both"/>
        <w:rPr>
          <w:rFonts w:ascii="Arial" w:hAnsi="Arial" w:cs="Arial"/>
          <w:color w:val="000000"/>
          <w:sz w:val="20"/>
          <w:szCs w:val="20"/>
        </w:rPr>
      </w:pPr>
      <w:r>
        <w:rPr>
          <w:rFonts w:ascii="Arial" w:hAnsi="Arial" w:cs="Arial"/>
          <w:color w:val="000000"/>
          <w:sz w:val="20"/>
          <w:szCs w:val="20"/>
        </w:rPr>
        <w:t>In case of a portfolio-level guarantee, effective from April 1, 2023, the extent of exposure subjected to first loss absorption by the MLI, if any, shall be subjected to full capital deduction and the residual exposure shall be subjected to risk weight as applicable to the counterparty in terms of extant regulations, on a pro rata basis. The maximum capital charge shall be capped at a notional level arrived at by treating the entire exposure as unguaranteed.</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Yours faithfully,</w:t>
      </w:r>
    </w:p>
    <w:p w:rsidR="0001090D" w:rsidRDefault="0001090D" w:rsidP="0001090D">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01090D" w:rsidRDefault="0001090D" w:rsidP="0001090D">
      <w:pPr>
        <w:rPr>
          <w:rFonts w:ascii="Arial" w:hAnsi="Arial" w:cs="Arial"/>
          <w:sz w:val="20"/>
          <w:szCs w:val="20"/>
        </w:rPr>
      </w:pPr>
    </w:p>
    <w:p w:rsidR="0001090D" w:rsidRDefault="0001090D" w:rsidP="0001090D">
      <w:pPr>
        <w:rPr>
          <w:rFonts w:ascii="Arial" w:hAnsi="Arial" w:cs="Arial"/>
          <w:sz w:val="20"/>
          <w:szCs w:val="20"/>
        </w:rPr>
      </w:pPr>
    </w:p>
    <w:p w:rsidR="0001090D" w:rsidRDefault="0001090D" w:rsidP="0001090D">
      <w:r>
        <w:t>More details can be referred to in the below link.</w:t>
      </w:r>
    </w:p>
    <w:p w:rsidR="0001090D" w:rsidRDefault="0001090D" w:rsidP="0001090D">
      <w:pPr>
        <w:rPr>
          <w:rFonts w:ascii="Arial" w:hAnsi="Arial" w:cs="Arial"/>
          <w:bCs/>
          <w:color w:val="000000"/>
          <w:sz w:val="20"/>
          <w:szCs w:val="20"/>
        </w:rPr>
      </w:pPr>
      <w:r>
        <w:rPr>
          <w:rFonts w:ascii="Arial" w:hAnsi="Arial" w:cs="Arial"/>
          <w:bCs/>
          <w:color w:val="000000"/>
          <w:sz w:val="20"/>
          <w:szCs w:val="20"/>
        </w:rPr>
        <w:lastRenderedPageBreak/>
        <w:t xml:space="preserve">Reference Link: </w:t>
      </w:r>
      <w:hyperlink r:id="rId90" w:history="1">
        <w:r w:rsidRPr="00B27270">
          <w:rPr>
            <w:rStyle w:val="Hyperlink"/>
            <w:rFonts w:ascii="Arial" w:hAnsi="Arial" w:cs="Arial"/>
            <w:bCs/>
            <w:sz w:val="20"/>
            <w:szCs w:val="20"/>
          </w:rPr>
          <w:t>https://m.rbi.org.in/scripts/FS_Notification.aspx?Id=12384&amp;fn=2&amp;Mode=0</w:t>
        </w:r>
      </w:hyperlink>
    </w:p>
    <w:p w:rsidR="0001090D" w:rsidRDefault="0001090D" w:rsidP="0001090D">
      <w:pPr>
        <w:rPr>
          <w:rFonts w:ascii="Arial" w:hAnsi="Arial" w:cs="Arial"/>
          <w:bCs/>
          <w:color w:val="000000"/>
          <w:sz w:val="20"/>
          <w:szCs w:val="20"/>
        </w:rPr>
      </w:pPr>
    </w:p>
    <w:p w:rsidR="0001090D" w:rsidRPr="00147837" w:rsidRDefault="0001090D" w:rsidP="0001090D">
      <w:pPr>
        <w:rPr>
          <w:rFonts w:ascii="Arial" w:hAnsi="Arial" w:cs="Arial"/>
          <w:b/>
          <w:bCs/>
          <w:color w:val="000000"/>
          <w:sz w:val="20"/>
          <w:szCs w:val="20"/>
        </w:rPr>
      </w:pPr>
      <w:r w:rsidRPr="00147837">
        <w:rPr>
          <w:rFonts w:ascii="Arial" w:hAnsi="Arial" w:cs="Arial"/>
          <w:b/>
          <w:bCs/>
          <w:color w:val="000000"/>
          <w:sz w:val="20"/>
          <w:szCs w:val="20"/>
        </w:rPr>
        <w:t>Rupee Drawing Arrangement - Enabling Bharat Bill Payment System (BBPS) to process cross-border inbound Bill Payments</w:t>
      </w:r>
    </w:p>
    <w:p w:rsidR="0001090D" w:rsidRPr="00147837" w:rsidRDefault="0001090D" w:rsidP="0001090D">
      <w:pPr>
        <w:pStyle w:val="NormalWeb"/>
        <w:rPr>
          <w:rFonts w:ascii="Arial" w:hAnsi="Arial" w:cs="Arial"/>
          <w:sz w:val="20"/>
          <w:szCs w:val="20"/>
        </w:rPr>
      </w:pPr>
      <w:r w:rsidRPr="00147837">
        <w:rPr>
          <w:rFonts w:ascii="Arial" w:hAnsi="Arial" w:cs="Arial"/>
          <w:sz w:val="20"/>
          <w:szCs w:val="20"/>
        </w:rPr>
        <w:t>RBI/2022-23/115</w:t>
      </w:r>
      <w:r w:rsidRPr="00147837">
        <w:rPr>
          <w:rFonts w:ascii="Arial" w:hAnsi="Arial" w:cs="Arial"/>
          <w:sz w:val="20"/>
          <w:szCs w:val="20"/>
        </w:rPr>
        <w:br/>
        <w:t>A.P. (DIR Series) Circular No. 14</w:t>
      </w:r>
    </w:p>
    <w:p w:rsidR="0001090D" w:rsidRPr="00147837" w:rsidRDefault="0001090D" w:rsidP="0001090D">
      <w:pPr>
        <w:pStyle w:val="NormalWeb"/>
        <w:jc w:val="right"/>
        <w:rPr>
          <w:rFonts w:ascii="Arial" w:hAnsi="Arial" w:cs="Arial"/>
          <w:sz w:val="20"/>
          <w:szCs w:val="20"/>
        </w:rPr>
      </w:pPr>
      <w:r w:rsidRPr="00147837">
        <w:rPr>
          <w:rFonts w:ascii="Arial" w:hAnsi="Arial" w:cs="Arial"/>
          <w:sz w:val="20"/>
          <w:szCs w:val="20"/>
        </w:rPr>
        <w:t>September 15, 2022</w:t>
      </w:r>
    </w:p>
    <w:p w:rsidR="0001090D" w:rsidRPr="00147837" w:rsidRDefault="0001090D" w:rsidP="0001090D">
      <w:pPr>
        <w:pStyle w:val="NormalWeb"/>
        <w:rPr>
          <w:rFonts w:ascii="Arial" w:hAnsi="Arial" w:cs="Arial"/>
          <w:sz w:val="20"/>
          <w:szCs w:val="20"/>
        </w:rPr>
      </w:pPr>
      <w:r w:rsidRPr="00147837">
        <w:rPr>
          <w:rFonts w:ascii="Arial" w:hAnsi="Arial" w:cs="Arial"/>
          <w:sz w:val="20"/>
          <w:szCs w:val="20"/>
        </w:rPr>
        <w:t>To</w:t>
      </w:r>
      <w:r w:rsidRPr="00147837">
        <w:rPr>
          <w:rFonts w:ascii="Arial" w:hAnsi="Arial" w:cs="Arial"/>
          <w:sz w:val="20"/>
          <w:szCs w:val="20"/>
        </w:rPr>
        <w:br/>
        <w:t>All Category-I Authorised Dealer Banks</w:t>
      </w:r>
    </w:p>
    <w:p w:rsidR="0001090D" w:rsidRPr="00147837" w:rsidRDefault="0001090D" w:rsidP="0001090D">
      <w:pPr>
        <w:pStyle w:val="NormalWeb"/>
        <w:rPr>
          <w:rFonts w:ascii="Arial" w:hAnsi="Arial" w:cs="Arial"/>
          <w:sz w:val="20"/>
          <w:szCs w:val="20"/>
        </w:rPr>
      </w:pPr>
      <w:r w:rsidRPr="00147837">
        <w:rPr>
          <w:rFonts w:ascii="Arial" w:hAnsi="Arial" w:cs="Arial"/>
          <w:sz w:val="20"/>
          <w:szCs w:val="20"/>
        </w:rPr>
        <w:t>Madam/Sir,</w:t>
      </w:r>
    </w:p>
    <w:p w:rsidR="0001090D" w:rsidRPr="00147837" w:rsidRDefault="0001090D" w:rsidP="0001090D">
      <w:pPr>
        <w:pStyle w:val="head"/>
        <w:jc w:val="center"/>
        <w:rPr>
          <w:rFonts w:ascii="Arial" w:hAnsi="Arial" w:cs="Arial"/>
          <w:b/>
          <w:bCs/>
          <w:sz w:val="20"/>
          <w:szCs w:val="20"/>
        </w:rPr>
      </w:pPr>
      <w:r w:rsidRPr="00147837">
        <w:rPr>
          <w:rFonts w:ascii="Arial" w:hAnsi="Arial" w:cs="Arial"/>
          <w:b/>
          <w:bCs/>
          <w:sz w:val="20"/>
          <w:szCs w:val="20"/>
        </w:rPr>
        <w:t>Rupee Drawing Arrangement - Enabling Bharat Bill Payment System (BBPS) to process</w:t>
      </w:r>
      <w:r w:rsidRPr="00147837">
        <w:rPr>
          <w:rFonts w:ascii="Arial" w:hAnsi="Arial" w:cs="Arial"/>
          <w:b/>
          <w:bCs/>
          <w:sz w:val="20"/>
          <w:szCs w:val="20"/>
        </w:rPr>
        <w:br/>
        <w:t>cross-border inbound Bill Payments</w:t>
      </w:r>
    </w:p>
    <w:p w:rsidR="0001090D" w:rsidRPr="00147837" w:rsidRDefault="0001090D" w:rsidP="0001090D">
      <w:pPr>
        <w:pStyle w:val="NormalWeb"/>
        <w:rPr>
          <w:rFonts w:ascii="Arial" w:hAnsi="Arial" w:cs="Arial"/>
          <w:sz w:val="20"/>
          <w:szCs w:val="20"/>
        </w:rPr>
      </w:pPr>
      <w:r w:rsidRPr="00147837">
        <w:rPr>
          <w:rFonts w:ascii="Arial" w:hAnsi="Arial" w:cs="Arial"/>
          <w:sz w:val="20"/>
          <w:szCs w:val="20"/>
        </w:rPr>
        <w:t>Please refer to </w:t>
      </w:r>
      <w:hyperlink r:id="rId91" w:tgtFrame="_blank" w:history="1">
        <w:r w:rsidRPr="00147837">
          <w:rPr>
            <w:rStyle w:val="Hyperlink"/>
            <w:rFonts w:ascii="Arial" w:hAnsi="Arial" w:cs="Arial"/>
            <w:sz w:val="20"/>
            <w:szCs w:val="20"/>
          </w:rPr>
          <w:t>A.P. (DIR Series) Circular No. 120 dated April 10, 2014</w:t>
        </w:r>
      </w:hyperlink>
      <w:r w:rsidRPr="00147837">
        <w:rPr>
          <w:rFonts w:ascii="Arial" w:hAnsi="Arial" w:cs="Arial"/>
          <w:sz w:val="20"/>
          <w:szCs w:val="20"/>
        </w:rPr>
        <w:t> on ‘Rupee Drawing Arrangement – Direct to Account Facility’, in terms of which, foreign inward remittances received under Rupee Drawing Arrangement (RDA) can be transferred to the KYC compliant beneficiary bank accounts through electronic mode, such as, NEFT, IMPS, etc. subject to the procedure and conditions mentioned therein.</w:t>
      </w:r>
    </w:p>
    <w:p w:rsidR="0001090D" w:rsidRPr="00147837" w:rsidRDefault="0001090D" w:rsidP="0001090D">
      <w:pPr>
        <w:pStyle w:val="NormalWeb"/>
        <w:rPr>
          <w:rFonts w:ascii="Arial" w:hAnsi="Arial" w:cs="Arial"/>
          <w:sz w:val="20"/>
          <w:szCs w:val="20"/>
        </w:rPr>
      </w:pPr>
      <w:r w:rsidRPr="00147837">
        <w:rPr>
          <w:rFonts w:ascii="Arial" w:hAnsi="Arial" w:cs="Arial"/>
          <w:sz w:val="20"/>
          <w:szCs w:val="20"/>
        </w:rPr>
        <w:t>2. As announced in Para 6 of the </w:t>
      </w:r>
      <w:hyperlink r:id="rId92" w:tgtFrame="_blank" w:history="1">
        <w:r w:rsidRPr="00147837">
          <w:rPr>
            <w:rStyle w:val="Hyperlink"/>
            <w:rFonts w:ascii="Arial" w:hAnsi="Arial" w:cs="Arial"/>
            <w:sz w:val="20"/>
            <w:szCs w:val="20"/>
          </w:rPr>
          <w:t>Statement on Developmental and Regulatory Policies issued on August 05, 2022</w:t>
        </w:r>
      </w:hyperlink>
      <w:r w:rsidRPr="00147837">
        <w:rPr>
          <w:rFonts w:ascii="Arial" w:hAnsi="Arial" w:cs="Arial"/>
          <w:sz w:val="20"/>
          <w:szCs w:val="20"/>
        </w:rPr>
        <w:t>, it has been decided to allow foreign inward remittances received under the Rupee Drawing Arrangement (RDA), to be transferred to the KYC compliant bank account of the biller (beneficiary) through Bharat Bill Payment System (BBPS), subject to the conditions mentioned in Para 3 of </w:t>
      </w:r>
      <w:hyperlink r:id="rId93" w:tgtFrame="_blank" w:history="1">
        <w:r w:rsidRPr="00147837">
          <w:rPr>
            <w:rStyle w:val="Hyperlink"/>
            <w:rFonts w:ascii="Arial" w:hAnsi="Arial" w:cs="Arial"/>
            <w:sz w:val="20"/>
            <w:szCs w:val="20"/>
          </w:rPr>
          <w:t>A.P. (DIR Series) Circular No.120 dated April 10, 2014</w:t>
        </w:r>
      </w:hyperlink>
      <w:r w:rsidRPr="00147837">
        <w:rPr>
          <w:rFonts w:ascii="Arial" w:hAnsi="Arial" w:cs="Arial"/>
          <w:sz w:val="20"/>
          <w:szCs w:val="20"/>
        </w:rPr>
        <w:t>.</w:t>
      </w:r>
    </w:p>
    <w:p w:rsidR="0001090D" w:rsidRPr="00147837" w:rsidRDefault="0001090D" w:rsidP="0001090D">
      <w:pPr>
        <w:pStyle w:val="NormalWeb"/>
        <w:rPr>
          <w:rFonts w:ascii="Arial" w:hAnsi="Arial" w:cs="Arial"/>
          <w:sz w:val="20"/>
          <w:szCs w:val="20"/>
        </w:rPr>
      </w:pPr>
      <w:r w:rsidRPr="00147837">
        <w:rPr>
          <w:rFonts w:ascii="Arial" w:hAnsi="Arial" w:cs="Arial"/>
          <w:sz w:val="20"/>
          <w:szCs w:val="20"/>
        </w:rPr>
        <w:t>3. AD Cat-I Banks may bring the contents of this circular to the notice of their constituents concerned.</w:t>
      </w:r>
    </w:p>
    <w:p w:rsidR="0001090D" w:rsidRPr="00147837" w:rsidRDefault="0001090D" w:rsidP="0001090D">
      <w:pPr>
        <w:pStyle w:val="NormalWeb"/>
        <w:rPr>
          <w:rFonts w:ascii="Arial" w:hAnsi="Arial" w:cs="Arial"/>
          <w:sz w:val="20"/>
          <w:szCs w:val="20"/>
        </w:rPr>
      </w:pPr>
      <w:r w:rsidRPr="00147837">
        <w:rPr>
          <w:rFonts w:ascii="Arial" w:hAnsi="Arial" w:cs="Arial"/>
          <w:sz w:val="20"/>
          <w:szCs w:val="20"/>
        </w:rPr>
        <w:t>4. The directions contained in this circular have been issued under Section 10(4) and Section 11(1) of the Foreign Exchange Management Act, 1999 (42 of 1999) and are without prejudice to permissions/approvals, if any, required under any other law.</w:t>
      </w:r>
    </w:p>
    <w:p w:rsidR="0001090D" w:rsidRPr="00147837" w:rsidRDefault="0001090D" w:rsidP="0001090D">
      <w:pPr>
        <w:pStyle w:val="NormalWeb"/>
        <w:spacing w:after="0" w:afterAutospacing="0"/>
        <w:rPr>
          <w:rFonts w:ascii="Arial" w:hAnsi="Arial" w:cs="Arial"/>
          <w:sz w:val="20"/>
          <w:szCs w:val="20"/>
        </w:rPr>
      </w:pPr>
      <w:r w:rsidRPr="00147837">
        <w:rPr>
          <w:rFonts w:ascii="Arial" w:hAnsi="Arial" w:cs="Arial"/>
          <w:sz w:val="20"/>
          <w:szCs w:val="20"/>
        </w:rPr>
        <w:t>Yours faithfully,</w:t>
      </w:r>
    </w:p>
    <w:p w:rsidR="0001090D" w:rsidRPr="009F305B" w:rsidRDefault="0001090D" w:rsidP="0001090D">
      <w:pPr>
        <w:pStyle w:val="NormalWeb"/>
        <w:spacing w:before="0" w:beforeAutospacing="0"/>
        <w:rPr>
          <w:rFonts w:ascii="Arial" w:hAnsi="Arial" w:cs="Arial"/>
          <w:sz w:val="20"/>
          <w:szCs w:val="20"/>
        </w:rPr>
      </w:pPr>
      <w:r w:rsidRPr="00147837">
        <w:rPr>
          <w:rFonts w:ascii="Arial" w:hAnsi="Arial" w:cs="Arial"/>
          <w:sz w:val="20"/>
          <w:szCs w:val="20"/>
        </w:rPr>
        <w:t>(Vivek Srivastava)</w:t>
      </w:r>
      <w:r w:rsidRPr="00147837">
        <w:rPr>
          <w:rFonts w:ascii="Arial" w:hAnsi="Arial" w:cs="Arial"/>
          <w:sz w:val="20"/>
          <w:szCs w:val="20"/>
        </w:rPr>
        <w:br/>
        <w:t>Chief General Manager</w:t>
      </w:r>
    </w:p>
    <w:p w:rsidR="0001090D" w:rsidRDefault="0001090D" w:rsidP="0001090D"/>
    <w:p w:rsidR="0001090D" w:rsidRDefault="0001090D" w:rsidP="0001090D"/>
    <w:p w:rsidR="0001090D" w:rsidRPr="00435B25" w:rsidRDefault="0001090D" w:rsidP="0001090D">
      <w:pPr>
        <w:spacing w:after="0"/>
        <w:rPr>
          <w:rFonts w:ascii="Arial" w:hAnsi="Arial" w:cs="Arial"/>
          <w:sz w:val="20"/>
          <w:szCs w:val="20"/>
        </w:rPr>
      </w:pPr>
      <w:r w:rsidRPr="00435B25">
        <w:rPr>
          <w:rFonts w:ascii="Arial" w:hAnsi="Arial" w:cs="Arial"/>
          <w:sz w:val="20"/>
          <w:szCs w:val="20"/>
        </w:rPr>
        <w:t>More details can be referred to in the below link.</w:t>
      </w:r>
    </w:p>
    <w:p w:rsidR="0001090D" w:rsidRDefault="0001090D" w:rsidP="0001090D">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94" w:history="1">
        <w:r w:rsidRPr="00200311">
          <w:rPr>
            <w:rStyle w:val="Hyperlink"/>
            <w:rFonts w:ascii="Arial" w:hAnsi="Arial" w:cs="Arial"/>
            <w:sz w:val="20"/>
            <w:szCs w:val="20"/>
          </w:rPr>
          <w:t>https://www.rbi.org.in/scripts/NotificationUser.aspx?Id=12386&amp;Mode=0</w:t>
        </w:r>
      </w:hyperlink>
    </w:p>
    <w:p w:rsidR="0001090D" w:rsidRDefault="0001090D" w:rsidP="0001090D">
      <w:pPr>
        <w:spacing w:after="0"/>
        <w:rPr>
          <w:rFonts w:ascii="Arial" w:hAnsi="Arial" w:cs="Arial"/>
          <w:sz w:val="20"/>
          <w:szCs w:val="20"/>
        </w:rPr>
      </w:pPr>
    </w:p>
    <w:p w:rsidR="0001090D" w:rsidRDefault="0001090D" w:rsidP="0001090D">
      <w:pPr>
        <w:spacing w:after="0"/>
        <w:rPr>
          <w:rFonts w:ascii="Arial" w:hAnsi="Arial" w:cs="Arial"/>
          <w:sz w:val="20"/>
          <w:szCs w:val="20"/>
        </w:rPr>
      </w:pPr>
    </w:p>
    <w:p w:rsidR="0001090D" w:rsidRDefault="0001090D" w:rsidP="0001090D">
      <w:pPr>
        <w:spacing w:after="0"/>
        <w:rPr>
          <w:rFonts w:ascii="Arial" w:hAnsi="Arial" w:cs="Arial"/>
          <w:sz w:val="20"/>
          <w:szCs w:val="20"/>
        </w:rPr>
      </w:pPr>
    </w:p>
    <w:p w:rsidR="0001090D" w:rsidRDefault="0001090D" w:rsidP="0001090D">
      <w:pPr>
        <w:spacing w:after="0"/>
        <w:rPr>
          <w:rFonts w:ascii="Arial" w:hAnsi="Arial" w:cs="Arial"/>
          <w:sz w:val="20"/>
          <w:szCs w:val="20"/>
        </w:rPr>
      </w:pPr>
    </w:p>
    <w:p w:rsidR="0001090D" w:rsidRDefault="0001090D" w:rsidP="0001090D">
      <w:pPr>
        <w:spacing w:after="0"/>
        <w:rPr>
          <w:rFonts w:ascii="Arial" w:hAnsi="Arial" w:cs="Arial"/>
          <w:sz w:val="20"/>
          <w:szCs w:val="20"/>
        </w:rPr>
      </w:pPr>
    </w:p>
    <w:p w:rsidR="0001090D" w:rsidRDefault="0001090D" w:rsidP="0001090D">
      <w:pPr>
        <w:spacing w:after="0"/>
        <w:rPr>
          <w:rFonts w:ascii="Arial" w:hAnsi="Arial" w:cs="Arial"/>
          <w:sz w:val="20"/>
          <w:szCs w:val="20"/>
        </w:rPr>
      </w:pPr>
    </w:p>
    <w:p w:rsidR="0001090D" w:rsidRDefault="0001090D" w:rsidP="0001090D">
      <w:pPr>
        <w:spacing w:after="0"/>
        <w:rPr>
          <w:rFonts w:ascii="Arial" w:hAnsi="Arial" w:cs="Arial"/>
          <w:sz w:val="20"/>
          <w:szCs w:val="20"/>
        </w:rPr>
      </w:pPr>
    </w:p>
    <w:p w:rsidR="0001090D" w:rsidRDefault="0001090D" w:rsidP="0001090D">
      <w:pPr>
        <w:spacing w:after="0"/>
        <w:rPr>
          <w:rFonts w:ascii="Arial" w:hAnsi="Arial" w:cs="Arial"/>
          <w:sz w:val="20"/>
          <w:szCs w:val="20"/>
        </w:rPr>
      </w:pPr>
    </w:p>
    <w:p w:rsidR="0001090D" w:rsidRDefault="0001090D" w:rsidP="0001090D">
      <w:pPr>
        <w:spacing w:after="0"/>
        <w:rPr>
          <w:rFonts w:ascii="Arial" w:hAnsi="Arial" w:cs="Arial"/>
          <w:sz w:val="20"/>
          <w:szCs w:val="20"/>
        </w:rPr>
      </w:pPr>
    </w:p>
    <w:p w:rsidR="0001090D" w:rsidRDefault="0001090D" w:rsidP="0001090D">
      <w:pPr>
        <w:spacing w:after="0"/>
        <w:rPr>
          <w:rFonts w:ascii="Arial" w:hAnsi="Arial" w:cs="Arial"/>
          <w:sz w:val="20"/>
          <w:szCs w:val="20"/>
        </w:rPr>
      </w:pPr>
    </w:p>
    <w:p w:rsidR="0001090D" w:rsidRDefault="0001090D" w:rsidP="0001090D">
      <w:pPr>
        <w:rPr>
          <w:rFonts w:ascii="Arial" w:hAnsi="Arial" w:cs="Arial"/>
          <w:bCs/>
          <w:color w:val="000000"/>
          <w:sz w:val="20"/>
          <w:szCs w:val="20"/>
        </w:rPr>
      </w:pPr>
    </w:p>
    <w:p w:rsidR="0001090D" w:rsidRDefault="0001090D" w:rsidP="0001090D">
      <w:pPr>
        <w:rPr>
          <w:rFonts w:ascii="Arial" w:hAnsi="Arial" w:cs="Arial"/>
          <w:bCs/>
          <w:color w:val="000000"/>
          <w:sz w:val="20"/>
          <w:szCs w:val="20"/>
        </w:rPr>
      </w:pPr>
    </w:p>
    <w:p w:rsidR="0001090D" w:rsidRDefault="0001090D" w:rsidP="0001090D">
      <w:pPr>
        <w:pStyle w:val="NormalWeb"/>
        <w:rPr>
          <w:rFonts w:ascii="Arial" w:hAnsi="Arial" w:cs="Arial"/>
          <w:b/>
          <w:bCs/>
          <w:color w:val="000000"/>
          <w:sz w:val="20"/>
          <w:szCs w:val="20"/>
        </w:rPr>
      </w:pPr>
      <w:r>
        <w:rPr>
          <w:rFonts w:ascii="Arial" w:hAnsi="Arial" w:cs="Arial"/>
          <w:b/>
          <w:bCs/>
          <w:color w:val="000000"/>
          <w:sz w:val="20"/>
          <w:szCs w:val="20"/>
        </w:rPr>
        <w:t>Master Directions on Interest Rate on Deposits</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RBI/2022-2023/117</w:t>
      </w:r>
      <w:r>
        <w:rPr>
          <w:rFonts w:ascii="Arial" w:hAnsi="Arial" w:cs="Arial"/>
          <w:color w:val="000000"/>
          <w:sz w:val="20"/>
          <w:szCs w:val="20"/>
        </w:rPr>
        <w:br/>
        <w:t>DOR.SOG (SPE).</w:t>
      </w:r>
      <w:proofErr w:type="spellStart"/>
      <w:r>
        <w:rPr>
          <w:rFonts w:ascii="Arial" w:hAnsi="Arial" w:cs="Arial"/>
          <w:color w:val="000000"/>
          <w:sz w:val="20"/>
          <w:szCs w:val="20"/>
        </w:rPr>
        <w:t>REC.No</w:t>
      </w:r>
      <w:proofErr w:type="spellEnd"/>
      <w:r>
        <w:rPr>
          <w:rFonts w:ascii="Arial" w:hAnsi="Arial" w:cs="Arial"/>
          <w:color w:val="000000"/>
          <w:sz w:val="20"/>
          <w:szCs w:val="20"/>
        </w:rPr>
        <w:t xml:space="preserve"> 68/13.03.00/2022-23</w:t>
      </w:r>
    </w:p>
    <w:p w:rsidR="0001090D" w:rsidRDefault="0001090D" w:rsidP="0001090D">
      <w:pPr>
        <w:pStyle w:val="NormalWeb"/>
        <w:jc w:val="right"/>
        <w:rPr>
          <w:rFonts w:ascii="Arial" w:hAnsi="Arial" w:cs="Arial"/>
          <w:color w:val="000000"/>
          <w:sz w:val="20"/>
          <w:szCs w:val="20"/>
        </w:rPr>
      </w:pPr>
      <w:r>
        <w:rPr>
          <w:rFonts w:ascii="Arial" w:hAnsi="Arial" w:cs="Arial"/>
          <w:color w:val="000000"/>
          <w:sz w:val="20"/>
          <w:szCs w:val="20"/>
        </w:rPr>
        <w:t>September 16, 2022</w:t>
      </w:r>
    </w:p>
    <w:p w:rsidR="0001090D" w:rsidRDefault="0001090D" w:rsidP="0001090D">
      <w:pPr>
        <w:pStyle w:val="NormalWeb"/>
        <w:rPr>
          <w:rFonts w:ascii="Arial" w:hAnsi="Arial" w:cs="Arial"/>
          <w:color w:val="000000"/>
          <w:sz w:val="20"/>
          <w:szCs w:val="20"/>
        </w:rPr>
      </w:pPr>
      <w:r>
        <w:rPr>
          <w:rFonts w:ascii="Arial" w:hAnsi="Arial" w:cs="Arial"/>
          <w:color w:val="000000"/>
          <w:sz w:val="20"/>
          <w:szCs w:val="20"/>
        </w:rPr>
        <w:t>All Scheduled Commercial Banks (including Regional Rural Banks)</w:t>
      </w:r>
      <w:r>
        <w:rPr>
          <w:rFonts w:ascii="Arial" w:hAnsi="Arial" w:cs="Arial"/>
          <w:color w:val="000000"/>
          <w:sz w:val="20"/>
          <w:szCs w:val="20"/>
        </w:rPr>
        <w:br/>
        <w:t>All Small Finance Banks</w:t>
      </w:r>
      <w:r>
        <w:rPr>
          <w:rFonts w:ascii="Arial" w:hAnsi="Arial" w:cs="Arial"/>
          <w:color w:val="000000"/>
          <w:sz w:val="20"/>
          <w:szCs w:val="20"/>
        </w:rPr>
        <w:br/>
        <w:t>All Payment Banks</w:t>
      </w:r>
      <w:r>
        <w:rPr>
          <w:rFonts w:ascii="Arial" w:hAnsi="Arial" w:cs="Arial"/>
          <w:color w:val="000000"/>
          <w:sz w:val="20"/>
          <w:szCs w:val="20"/>
        </w:rPr>
        <w:br/>
        <w:t>All Local Area Banks</w:t>
      </w:r>
      <w:r>
        <w:rPr>
          <w:rFonts w:ascii="Arial" w:hAnsi="Arial" w:cs="Arial"/>
          <w:color w:val="000000"/>
          <w:sz w:val="20"/>
          <w:szCs w:val="20"/>
        </w:rPr>
        <w:br/>
        <w:t>All Primary (Urban) Co-operative Banks/ DCCBs /State Cooperative Banks</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Sir / Madam,</w:t>
      </w:r>
    </w:p>
    <w:p w:rsidR="0001090D" w:rsidRDefault="0001090D" w:rsidP="0001090D">
      <w:pPr>
        <w:pStyle w:val="head"/>
        <w:jc w:val="both"/>
        <w:rPr>
          <w:rFonts w:ascii="Arial" w:hAnsi="Arial" w:cs="Arial"/>
          <w:b/>
          <w:bCs/>
          <w:color w:val="000000"/>
          <w:sz w:val="20"/>
          <w:szCs w:val="20"/>
        </w:rPr>
      </w:pPr>
      <w:r>
        <w:rPr>
          <w:rFonts w:ascii="Arial" w:hAnsi="Arial" w:cs="Arial"/>
          <w:b/>
          <w:bCs/>
          <w:color w:val="000000"/>
          <w:sz w:val="20"/>
          <w:szCs w:val="20"/>
        </w:rPr>
        <w:t>Master Directions on Interest Rate on Deposits</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Please refer to the instructions on the Foreign Currency (Non-resident) Accounts (Banks) Scheme contained in Section 19 (h) of the </w:t>
      </w:r>
      <w:hyperlink r:id="rId95" w:tgtFrame="_blank" w:history="1">
        <w:r>
          <w:rPr>
            <w:rStyle w:val="Hyperlink"/>
            <w:rFonts w:ascii="Arial" w:hAnsi="Arial" w:cs="Arial"/>
            <w:sz w:val="20"/>
            <w:szCs w:val="20"/>
          </w:rPr>
          <w:t>Master Direction - Reserve Bank of India (Interest Rate on Deposits) Directions, 2016 dated March 03, 2016</w:t>
        </w:r>
      </w:hyperlink>
      <w:r>
        <w:rPr>
          <w:rFonts w:ascii="Arial" w:hAnsi="Arial" w:cs="Arial"/>
          <w:color w:val="000000"/>
          <w:sz w:val="20"/>
          <w:szCs w:val="20"/>
        </w:rPr>
        <w:t> and Section 18 (h) of the </w:t>
      </w:r>
      <w:hyperlink r:id="rId96" w:tgtFrame="_blank" w:history="1">
        <w:r>
          <w:rPr>
            <w:rStyle w:val="Hyperlink"/>
            <w:rFonts w:ascii="Arial" w:hAnsi="Arial" w:cs="Arial"/>
            <w:sz w:val="20"/>
            <w:szCs w:val="20"/>
          </w:rPr>
          <w:t>Master Direction – Reserve Bank of India (Co-operative Banks – Interest Rate on Deposits) Directions, 2016 dated May 12, 2016</w:t>
        </w:r>
      </w:hyperlink>
      <w:r>
        <w:rPr>
          <w:rFonts w:ascii="Arial" w:hAnsi="Arial" w:cs="Arial"/>
          <w:color w:val="000000"/>
          <w:sz w:val="20"/>
          <w:szCs w:val="20"/>
        </w:rPr>
        <w:t> in terms of which, reference rates for arriving at the interest rates on FCNR (B) deposits shall be quoted / displayed by Foreign Exchange Dealers Association of India (FEDAI).</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 xml:space="preserve">2. In terms of the guidance provided by RBI, the reference rates mentioned above are being quoted / displayed by Financial Benchmarks India </w:t>
      </w:r>
      <w:proofErr w:type="spellStart"/>
      <w:r>
        <w:rPr>
          <w:rFonts w:ascii="Arial" w:hAnsi="Arial" w:cs="Arial"/>
          <w:color w:val="000000"/>
          <w:sz w:val="20"/>
          <w:szCs w:val="20"/>
        </w:rPr>
        <w:t>Pvt.</w:t>
      </w:r>
      <w:proofErr w:type="spellEnd"/>
      <w:r>
        <w:rPr>
          <w:rFonts w:ascii="Arial" w:hAnsi="Arial" w:cs="Arial"/>
          <w:color w:val="000000"/>
          <w:sz w:val="20"/>
          <w:szCs w:val="20"/>
        </w:rPr>
        <w:t xml:space="preserve"> Ltd. (FBIL) with effect from January 31, 2022. In this regard, the relevant sections of both the Master Directions on Interest Rate on Deposits have been suitably modified.</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3. Further, the instructions regarding eligibility for opening of savings account contained in Section 28 (h) and Section 27 (h) of the above-mentioned </w:t>
      </w:r>
      <w:hyperlink r:id="rId97" w:tgtFrame="_blank" w:history="1">
        <w:r>
          <w:rPr>
            <w:rStyle w:val="Hyperlink"/>
            <w:rFonts w:ascii="Arial" w:hAnsi="Arial" w:cs="Arial"/>
            <w:sz w:val="20"/>
            <w:szCs w:val="20"/>
          </w:rPr>
          <w:t>Master Directions (MDs) dated March 03, 2016</w:t>
        </w:r>
      </w:hyperlink>
      <w:r>
        <w:rPr>
          <w:rFonts w:ascii="Arial" w:hAnsi="Arial" w:cs="Arial"/>
          <w:color w:val="000000"/>
          <w:sz w:val="20"/>
          <w:szCs w:val="20"/>
        </w:rPr>
        <w:t> and </w:t>
      </w:r>
      <w:hyperlink r:id="rId98" w:tgtFrame="_blank" w:history="1">
        <w:r>
          <w:rPr>
            <w:rStyle w:val="Hyperlink"/>
            <w:rFonts w:ascii="Arial" w:hAnsi="Arial" w:cs="Arial"/>
            <w:sz w:val="20"/>
            <w:szCs w:val="20"/>
          </w:rPr>
          <w:t>May 12, 2016</w:t>
        </w:r>
      </w:hyperlink>
      <w:r>
        <w:rPr>
          <w:rFonts w:ascii="Arial" w:hAnsi="Arial" w:cs="Arial"/>
          <w:color w:val="000000"/>
          <w:sz w:val="20"/>
          <w:szCs w:val="20"/>
        </w:rPr>
        <w:t>, respectively, and item No. 6 in Schedule I of the two MDs have been modified to make them more explicit.</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4. The relevant sections of the Master Directions as amended are indicated in the </w:t>
      </w:r>
      <w:hyperlink r:id="rId99" w:anchor="A_N" w:history="1">
        <w:r>
          <w:rPr>
            <w:rStyle w:val="Hyperlink"/>
            <w:rFonts w:ascii="Arial" w:hAnsi="Arial" w:cs="Arial"/>
            <w:sz w:val="20"/>
            <w:szCs w:val="20"/>
          </w:rPr>
          <w:t>Annex</w:t>
        </w:r>
      </w:hyperlink>
      <w:r>
        <w:rPr>
          <w:rFonts w:ascii="Arial" w:hAnsi="Arial" w:cs="Arial"/>
          <w:color w:val="000000"/>
          <w:sz w:val="20"/>
          <w:szCs w:val="20"/>
        </w:rPr>
        <w:t>.</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5. All other instructions in this regard shall remain unchanged.</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Yours faithfully,</w:t>
      </w:r>
    </w:p>
    <w:p w:rsidR="0001090D" w:rsidRDefault="0001090D" w:rsidP="0001090D">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rsidR="0001090D" w:rsidRDefault="0001090D" w:rsidP="0001090D"/>
    <w:p w:rsidR="0001090D" w:rsidRDefault="0001090D" w:rsidP="0001090D"/>
    <w:p w:rsidR="0001090D" w:rsidRDefault="0001090D" w:rsidP="0001090D">
      <w:r>
        <w:t>More details can be referred to in the below link.</w:t>
      </w:r>
    </w:p>
    <w:p w:rsidR="0001090D" w:rsidRDefault="0001090D" w:rsidP="0001090D">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00" w:history="1">
        <w:r w:rsidRPr="006865D6">
          <w:rPr>
            <w:rStyle w:val="Hyperlink"/>
            <w:rFonts w:ascii="Arial" w:hAnsi="Arial" w:cs="Arial"/>
            <w:bCs/>
            <w:sz w:val="20"/>
            <w:szCs w:val="20"/>
          </w:rPr>
          <w:t>https://rbi.org.in/Scripts/NotificationUser.aspx?Id=12388&amp;Mode=0</w:t>
        </w:r>
      </w:hyperlink>
    </w:p>
    <w:p w:rsidR="0001090D" w:rsidRDefault="0001090D" w:rsidP="0001090D">
      <w:pPr>
        <w:pStyle w:val="NormalWeb"/>
        <w:rPr>
          <w:rFonts w:ascii="Arial" w:hAnsi="Arial" w:cs="Arial"/>
          <w:bCs/>
          <w:color w:val="000000"/>
          <w:sz w:val="20"/>
          <w:szCs w:val="20"/>
        </w:rPr>
      </w:pPr>
    </w:p>
    <w:p w:rsidR="0001090D" w:rsidRDefault="0001090D" w:rsidP="0001090D">
      <w:pPr>
        <w:pStyle w:val="NormalWeb"/>
        <w:rPr>
          <w:rFonts w:ascii="Arial" w:hAnsi="Arial" w:cs="Arial"/>
          <w:bCs/>
          <w:color w:val="000000"/>
          <w:sz w:val="20"/>
          <w:szCs w:val="20"/>
        </w:rPr>
      </w:pPr>
    </w:p>
    <w:p w:rsidR="0001090D" w:rsidRDefault="0001090D" w:rsidP="0001090D">
      <w:pPr>
        <w:rPr>
          <w:rFonts w:ascii="Arial" w:hAnsi="Arial" w:cs="Arial"/>
          <w:bCs/>
          <w:color w:val="000000"/>
          <w:sz w:val="20"/>
          <w:szCs w:val="20"/>
        </w:rPr>
      </w:pPr>
    </w:p>
    <w:p w:rsidR="0001090D" w:rsidRDefault="0001090D" w:rsidP="0001090D">
      <w:pPr>
        <w:rPr>
          <w:rFonts w:ascii="Arial" w:hAnsi="Arial" w:cs="Arial"/>
          <w:b/>
          <w:bCs/>
          <w:color w:val="000000"/>
          <w:sz w:val="20"/>
          <w:szCs w:val="20"/>
        </w:rPr>
      </w:pPr>
      <w:r>
        <w:rPr>
          <w:rFonts w:ascii="Arial" w:hAnsi="Arial" w:cs="Arial"/>
          <w:b/>
          <w:bCs/>
          <w:color w:val="000000"/>
          <w:sz w:val="20"/>
          <w:szCs w:val="20"/>
        </w:rPr>
        <w:t>Compliance Function and Role of Chief Compliance Officer (CCO)- Urban Co-operative Banks</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RBI/2022-2023/118</w:t>
      </w:r>
      <w:r>
        <w:rPr>
          <w:rFonts w:ascii="Arial" w:hAnsi="Arial" w:cs="Arial"/>
          <w:color w:val="000000"/>
          <w:sz w:val="20"/>
          <w:szCs w:val="20"/>
        </w:rPr>
        <w:br/>
      </w:r>
      <w:proofErr w:type="spellStart"/>
      <w:r>
        <w:rPr>
          <w:rFonts w:ascii="Arial" w:hAnsi="Arial" w:cs="Arial"/>
          <w:color w:val="000000"/>
          <w:sz w:val="20"/>
          <w:szCs w:val="20"/>
        </w:rPr>
        <w:t>Ref.No.DoS.CO.PPG</w:t>
      </w:r>
      <w:proofErr w:type="spellEnd"/>
      <w:r>
        <w:rPr>
          <w:rFonts w:ascii="Arial" w:hAnsi="Arial" w:cs="Arial"/>
          <w:color w:val="000000"/>
          <w:sz w:val="20"/>
          <w:szCs w:val="20"/>
        </w:rPr>
        <w:t>/SEC.04/11.01.005/2022-23</w:t>
      </w:r>
    </w:p>
    <w:p w:rsidR="0001090D" w:rsidRDefault="0001090D" w:rsidP="0001090D">
      <w:pPr>
        <w:pStyle w:val="NormalWeb"/>
        <w:jc w:val="right"/>
        <w:rPr>
          <w:rFonts w:ascii="Arial" w:hAnsi="Arial" w:cs="Arial"/>
          <w:color w:val="000000"/>
          <w:sz w:val="20"/>
          <w:szCs w:val="20"/>
        </w:rPr>
      </w:pPr>
      <w:r>
        <w:rPr>
          <w:rFonts w:ascii="Arial" w:hAnsi="Arial" w:cs="Arial"/>
          <w:color w:val="000000"/>
          <w:sz w:val="20"/>
          <w:szCs w:val="20"/>
        </w:rPr>
        <w:t>September 19, 2022</w:t>
      </w:r>
    </w:p>
    <w:p w:rsidR="0001090D" w:rsidRDefault="0001090D" w:rsidP="0001090D">
      <w:pPr>
        <w:pStyle w:val="NormalWeb"/>
        <w:rPr>
          <w:rFonts w:ascii="Arial" w:hAnsi="Arial" w:cs="Arial"/>
          <w:color w:val="000000"/>
          <w:sz w:val="20"/>
          <w:szCs w:val="20"/>
        </w:rPr>
      </w:pPr>
      <w:r>
        <w:rPr>
          <w:rFonts w:ascii="Arial" w:hAnsi="Arial" w:cs="Arial"/>
          <w:color w:val="000000"/>
          <w:sz w:val="20"/>
          <w:szCs w:val="20"/>
        </w:rPr>
        <w:t>The Chairman / Managing Director / Chief Executive Officer</w:t>
      </w:r>
      <w:r>
        <w:rPr>
          <w:rFonts w:ascii="Arial" w:hAnsi="Arial" w:cs="Arial"/>
          <w:color w:val="000000"/>
          <w:sz w:val="20"/>
          <w:szCs w:val="20"/>
        </w:rPr>
        <w:br/>
        <w:t>All Primary (Urban) Co-operative Banks (UCBs)</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Madam / Dear Sir,</w:t>
      </w:r>
    </w:p>
    <w:p w:rsidR="0001090D" w:rsidRDefault="0001090D" w:rsidP="0001090D">
      <w:pPr>
        <w:pStyle w:val="head"/>
        <w:jc w:val="center"/>
        <w:rPr>
          <w:rFonts w:ascii="Arial" w:hAnsi="Arial" w:cs="Arial"/>
          <w:b/>
          <w:bCs/>
          <w:color w:val="000000"/>
          <w:sz w:val="20"/>
          <w:szCs w:val="20"/>
        </w:rPr>
      </w:pPr>
      <w:r>
        <w:rPr>
          <w:rFonts w:ascii="Arial" w:hAnsi="Arial" w:cs="Arial"/>
          <w:b/>
          <w:bCs/>
          <w:color w:val="000000"/>
          <w:sz w:val="20"/>
          <w:szCs w:val="20"/>
          <w:u w:val="single"/>
        </w:rPr>
        <w:t>Compliance Function and Role of Chief Compliance Officer (CCO)-</w:t>
      </w:r>
      <w:r>
        <w:rPr>
          <w:rFonts w:ascii="Arial" w:hAnsi="Arial" w:cs="Arial"/>
          <w:b/>
          <w:bCs/>
          <w:color w:val="000000"/>
          <w:sz w:val="20"/>
          <w:szCs w:val="20"/>
          <w:u w:val="single"/>
        </w:rPr>
        <w:br/>
        <w:t>Urban Co-operative Banks</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As part of the overall structure for Corporate Governance, the Compliance Function serves a critical role. Therefore, it has been decided to introduce certain principles, standards and procedures for Compliance Function in UCBs, keeping in view the principles of proportionality. Accordingly, this Circular shall be applicable to all UCBs under Tier 3 and Tier 4 categories</w:t>
      </w:r>
      <w:hyperlink r:id="rId101" w:anchor="FN1" w:history="1">
        <w:r>
          <w:rPr>
            <w:rStyle w:val="Hyperlink"/>
            <w:rFonts w:ascii="Arial" w:hAnsi="Arial" w:cs="Arial"/>
            <w:sz w:val="15"/>
            <w:szCs w:val="15"/>
            <w:vertAlign w:val="superscript"/>
          </w:rPr>
          <w:t>1</w:t>
        </w:r>
      </w:hyperlink>
      <w:r>
        <w:rPr>
          <w:rFonts w:ascii="Arial" w:hAnsi="Arial" w:cs="Arial"/>
          <w:color w:val="000000"/>
          <w:sz w:val="20"/>
          <w:szCs w:val="20"/>
        </w:rPr>
        <w:t> except UCBs under All Inclusive Directions (AID)</w:t>
      </w:r>
      <w:hyperlink r:id="rId102" w:anchor="FN2" w:history="1">
        <w:r>
          <w:rPr>
            <w:rStyle w:val="Hyperlink"/>
            <w:rFonts w:ascii="Arial" w:hAnsi="Arial" w:cs="Arial"/>
            <w:sz w:val="15"/>
            <w:szCs w:val="15"/>
            <w:vertAlign w:val="superscript"/>
          </w:rPr>
          <w:t>2</w:t>
        </w:r>
      </w:hyperlink>
      <w:r>
        <w:rPr>
          <w:rFonts w:ascii="Arial" w:hAnsi="Arial" w:cs="Arial"/>
          <w:color w:val="000000"/>
          <w:sz w:val="20"/>
          <w:szCs w:val="20"/>
        </w:rPr>
        <w:t>. UCBs under Tier 1 and Tier 2 categories shall continue to be governed under the existing guidelines</w:t>
      </w:r>
      <w:hyperlink r:id="rId103" w:anchor="FN3" w:history="1">
        <w:r>
          <w:rPr>
            <w:rStyle w:val="Hyperlink"/>
            <w:rFonts w:ascii="Arial" w:hAnsi="Arial" w:cs="Arial"/>
            <w:sz w:val="15"/>
            <w:szCs w:val="15"/>
            <w:vertAlign w:val="superscript"/>
          </w:rPr>
          <w:t>3</w:t>
        </w:r>
      </w:hyperlink>
      <w:r>
        <w:rPr>
          <w:rFonts w:ascii="Arial" w:hAnsi="Arial" w:cs="Arial"/>
          <w:color w:val="000000"/>
          <w:sz w:val="20"/>
          <w:szCs w:val="20"/>
        </w:rPr>
        <w:t>.</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2. The UCBs under Tier 4 category shall put in place a Board-approved policy and a Compliance Function, including the appointment of a Chief Compliance Officer (CCO), based on the Framework given in the </w:t>
      </w:r>
      <w:hyperlink r:id="rId104" w:anchor="AN" w:history="1">
        <w:r>
          <w:rPr>
            <w:rStyle w:val="Hyperlink"/>
            <w:rFonts w:ascii="Arial" w:hAnsi="Arial" w:cs="Arial"/>
            <w:sz w:val="20"/>
            <w:szCs w:val="20"/>
          </w:rPr>
          <w:t>Annex</w:t>
        </w:r>
      </w:hyperlink>
      <w:r>
        <w:rPr>
          <w:rFonts w:ascii="Arial" w:hAnsi="Arial" w:cs="Arial"/>
          <w:color w:val="000000"/>
          <w:sz w:val="20"/>
          <w:szCs w:val="20"/>
        </w:rPr>
        <w:t>, latest by April 1, 2023. The UCBs under Tier 3 category shall implement the same latest by October 1, 2023.</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3. This Circular shall be placed in the immediate next meeting of the Board of Directors for information and devising an implementation strategy, under the Board’s supervision, in a time-bound manner.</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Yours faithfully,</w:t>
      </w:r>
    </w:p>
    <w:p w:rsidR="0001090D" w:rsidRDefault="0001090D" w:rsidP="0001090D">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Tarun</w:t>
      </w:r>
      <w:proofErr w:type="spellEnd"/>
      <w:r>
        <w:rPr>
          <w:rFonts w:ascii="Arial" w:hAnsi="Arial" w:cs="Arial"/>
          <w:color w:val="000000"/>
          <w:sz w:val="20"/>
          <w:szCs w:val="20"/>
        </w:rPr>
        <w:t xml:space="preserve"> Singh)</w:t>
      </w:r>
      <w:r>
        <w:rPr>
          <w:rFonts w:ascii="Arial" w:hAnsi="Arial" w:cs="Arial"/>
          <w:color w:val="000000"/>
          <w:sz w:val="20"/>
          <w:szCs w:val="20"/>
        </w:rPr>
        <w:br/>
        <w:t>Chief General Manager</w:t>
      </w:r>
    </w:p>
    <w:p w:rsidR="0001090D" w:rsidRDefault="0001090D" w:rsidP="0001090D">
      <w:pPr>
        <w:rPr>
          <w:rFonts w:ascii="Arial" w:hAnsi="Arial" w:cs="Arial"/>
          <w:sz w:val="20"/>
          <w:szCs w:val="20"/>
        </w:rPr>
      </w:pPr>
    </w:p>
    <w:p w:rsidR="0001090D" w:rsidRDefault="0001090D" w:rsidP="0001090D">
      <w:pPr>
        <w:rPr>
          <w:rFonts w:ascii="Arial" w:hAnsi="Arial" w:cs="Arial"/>
          <w:sz w:val="20"/>
          <w:szCs w:val="20"/>
        </w:rPr>
      </w:pPr>
    </w:p>
    <w:p w:rsidR="0001090D" w:rsidRDefault="0001090D" w:rsidP="0001090D">
      <w:pPr>
        <w:rPr>
          <w:rFonts w:ascii="Arial" w:hAnsi="Arial" w:cs="Arial"/>
          <w:sz w:val="20"/>
          <w:szCs w:val="20"/>
        </w:rPr>
      </w:pPr>
    </w:p>
    <w:p w:rsidR="0001090D" w:rsidRDefault="0001090D" w:rsidP="0001090D">
      <w:r>
        <w:t>More details can be referred to in the below link.</w:t>
      </w:r>
    </w:p>
    <w:p w:rsidR="0001090D" w:rsidRDefault="0001090D" w:rsidP="0001090D">
      <w:pPr>
        <w:rPr>
          <w:rFonts w:ascii="Arial" w:hAnsi="Arial" w:cs="Arial"/>
          <w:bCs/>
          <w:color w:val="000000"/>
          <w:sz w:val="20"/>
          <w:szCs w:val="20"/>
        </w:rPr>
      </w:pPr>
      <w:r>
        <w:rPr>
          <w:rFonts w:ascii="Arial" w:hAnsi="Arial" w:cs="Arial"/>
          <w:bCs/>
          <w:color w:val="000000"/>
          <w:sz w:val="20"/>
          <w:szCs w:val="20"/>
        </w:rPr>
        <w:t xml:space="preserve">Reference Link: </w:t>
      </w:r>
      <w:hyperlink r:id="rId105" w:history="1">
        <w:r w:rsidRPr="00735218">
          <w:rPr>
            <w:rStyle w:val="Hyperlink"/>
            <w:rFonts w:ascii="Arial" w:hAnsi="Arial" w:cs="Arial"/>
            <w:bCs/>
            <w:sz w:val="20"/>
            <w:szCs w:val="20"/>
          </w:rPr>
          <w:t>https://rbi.org.in/Scripts/NotificationUser.aspx?Id=12389&amp;Mode=0</w:t>
        </w:r>
      </w:hyperlink>
    </w:p>
    <w:p w:rsidR="0001090D" w:rsidRDefault="0001090D" w:rsidP="0001090D">
      <w:pPr>
        <w:rPr>
          <w:rFonts w:ascii="Arial" w:hAnsi="Arial" w:cs="Arial"/>
          <w:bCs/>
          <w:color w:val="000000"/>
          <w:sz w:val="20"/>
          <w:szCs w:val="20"/>
        </w:rPr>
      </w:pPr>
    </w:p>
    <w:p w:rsidR="0001090D" w:rsidRDefault="0001090D" w:rsidP="0001090D">
      <w:pPr>
        <w:rPr>
          <w:rFonts w:ascii="Arial" w:hAnsi="Arial" w:cs="Arial"/>
          <w:bCs/>
          <w:color w:val="000000"/>
          <w:sz w:val="20"/>
          <w:szCs w:val="20"/>
        </w:rPr>
      </w:pPr>
    </w:p>
    <w:p w:rsidR="0001090D" w:rsidRDefault="0001090D" w:rsidP="0001090D">
      <w:pPr>
        <w:rPr>
          <w:rFonts w:ascii="Arial" w:hAnsi="Arial" w:cs="Arial"/>
          <w:bCs/>
          <w:color w:val="000000"/>
          <w:sz w:val="20"/>
          <w:szCs w:val="20"/>
        </w:rPr>
      </w:pPr>
    </w:p>
    <w:p w:rsidR="0001090D" w:rsidRDefault="0001090D" w:rsidP="0001090D">
      <w:pPr>
        <w:rPr>
          <w:rFonts w:ascii="Arial" w:hAnsi="Arial" w:cs="Arial"/>
          <w:bCs/>
          <w:color w:val="000000"/>
          <w:sz w:val="20"/>
          <w:szCs w:val="20"/>
        </w:rPr>
      </w:pPr>
    </w:p>
    <w:p w:rsidR="0001090D" w:rsidRDefault="0001090D" w:rsidP="0001090D">
      <w:pPr>
        <w:rPr>
          <w:rFonts w:ascii="Arial" w:hAnsi="Arial" w:cs="Arial"/>
          <w:bCs/>
          <w:color w:val="000000"/>
          <w:sz w:val="20"/>
          <w:szCs w:val="20"/>
        </w:rPr>
      </w:pPr>
    </w:p>
    <w:p w:rsidR="0001090D" w:rsidRDefault="0001090D" w:rsidP="0001090D">
      <w:pPr>
        <w:rPr>
          <w:rFonts w:ascii="Arial" w:hAnsi="Arial" w:cs="Arial"/>
          <w:bCs/>
          <w:color w:val="000000"/>
          <w:sz w:val="20"/>
          <w:szCs w:val="20"/>
        </w:rPr>
      </w:pPr>
    </w:p>
    <w:p w:rsidR="0001090D" w:rsidRDefault="0001090D" w:rsidP="0001090D">
      <w:pPr>
        <w:rPr>
          <w:rFonts w:ascii="Arial" w:hAnsi="Arial" w:cs="Arial"/>
          <w:bCs/>
          <w:color w:val="000000"/>
          <w:sz w:val="20"/>
          <w:szCs w:val="20"/>
        </w:rPr>
      </w:pPr>
    </w:p>
    <w:p w:rsidR="0001090D" w:rsidRDefault="0001090D" w:rsidP="0001090D">
      <w:pPr>
        <w:rPr>
          <w:rFonts w:ascii="Arial" w:hAnsi="Arial" w:cs="Arial"/>
          <w:bCs/>
          <w:color w:val="000000"/>
          <w:sz w:val="20"/>
          <w:szCs w:val="20"/>
        </w:rPr>
      </w:pPr>
    </w:p>
    <w:p w:rsidR="0001090D" w:rsidRDefault="0001090D" w:rsidP="0001090D">
      <w:pPr>
        <w:spacing w:after="0"/>
        <w:rPr>
          <w:rFonts w:ascii="Arial" w:hAnsi="Arial" w:cs="Arial"/>
          <w:b/>
          <w:bCs/>
          <w:color w:val="000000"/>
          <w:sz w:val="20"/>
          <w:szCs w:val="20"/>
        </w:rPr>
      </w:pPr>
      <w:r>
        <w:rPr>
          <w:rFonts w:ascii="Arial" w:hAnsi="Arial" w:cs="Arial"/>
          <w:b/>
          <w:bCs/>
          <w:color w:val="000000"/>
          <w:sz w:val="20"/>
          <w:szCs w:val="20"/>
        </w:rPr>
        <w:t>Late Submission Fee for reporting delays under Foreign Exchange Management Act, 1999 (FEMA)</w:t>
      </w:r>
    </w:p>
    <w:p w:rsidR="0001090D" w:rsidRDefault="0001090D" w:rsidP="0001090D">
      <w:pPr>
        <w:spacing w:after="0"/>
        <w:rPr>
          <w:rFonts w:ascii="Arial" w:hAnsi="Arial" w:cs="Arial"/>
          <w:b/>
          <w:bCs/>
          <w:color w:val="000000"/>
          <w:sz w:val="20"/>
          <w:szCs w:val="20"/>
        </w:rPr>
      </w:pP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RBI/2022-23/122</w:t>
      </w:r>
      <w:r>
        <w:rPr>
          <w:rFonts w:ascii="Arial" w:hAnsi="Arial" w:cs="Arial"/>
          <w:color w:val="000000"/>
          <w:sz w:val="20"/>
          <w:szCs w:val="20"/>
        </w:rPr>
        <w:br/>
        <w:t>A.P. (DIR Series) Circular No. 16</w:t>
      </w:r>
    </w:p>
    <w:p w:rsidR="0001090D" w:rsidRDefault="0001090D" w:rsidP="0001090D">
      <w:pPr>
        <w:pStyle w:val="NormalWeb"/>
        <w:jc w:val="right"/>
        <w:rPr>
          <w:rFonts w:ascii="Arial" w:hAnsi="Arial" w:cs="Arial"/>
          <w:color w:val="000000"/>
          <w:sz w:val="20"/>
          <w:szCs w:val="20"/>
        </w:rPr>
      </w:pPr>
      <w:r>
        <w:rPr>
          <w:rFonts w:ascii="Arial" w:hAnsi="Arial" w:cs="Arial"/>
          <w:color w:val="000000"/>
          <w:sz w:val="20"/>
          <w:szCs w:val="20"/>
        </w:rPr>
        <w:t>September 30, 2022</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To</w:t>
      </w:r>
      <w:r>
        <w:rPr>
          <w:rFonts w:ascii="Arial" w:hAnsi="Arial" w:cs="Arial"/>
          <w:color w:val="000000"/>
          <w:sz w:val="20"/>
          <w:szCs w:val="20"/>
        </w:rPr>
        <w:br/>
        <w:t>All Category-I Authorised Dealer Banks</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Madam / Sir</w:t>
      </w:r>
    </w:p>
    <w:p w:rsidR="0001090D" w:rsidRDefault="0001090D" w:rsidP="0001090D">
      <w:pPr>
        <w:pStyle w:val="head"/>
        <w:jc w:val="center"/>
        <w:rPr>
          <w:rFonts w:ascii="Arial" w:hAnsi="Arial" w:cs="Arial"/>
          <w:b/>
          <w:bCs/>
          <w:color w:val="000000"/>
          <w:sz w:val="20"/>
          <w:szCs w:val="20"/>
        </w:rPr>
      </w:pPr>
      <w:r>
        <w:rPr>
          <w:rFonts w:ascii="Arial" w:hAnsi="Arial" w:cs="Arial"/>
          <w:b/>
          <w:bCs/>
          <w:color w:val="000000"/>
          <w:sz w:val="20"/>
          <w:szCs w:val="20"/>
        </w:rPr>
        <w:t>Late Submission Fee for reporting delays under Foreign Exchange Management Act, 1999 (FEMA)</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The Late Submission Fee (LSF) was introduced for reporting delays in Foreign Investment (FI), External Commercial Borrowings (ECBs) and Overseas Investment related transactions with effect from November 07, 2017, January 16, 2019 and August 22, 2022 respectively. It has now been decided to bring uniformity in imposition of LSF across functions. The following matrix shall be used henceforth for calculation of LSF, wherever applicable:</w:t>
      </w:r>
    </w:p>
    <w:tbl>
      <w:tblPr>
        <w:tblW w:w="44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6"/>
        <w:gridCol w:w="5344"/>
        <w:gridCol w:w="1885"/>
      </w:tblGrid>
      <w:tr w:rsidR="0001090D" w:rsidTr="00C96881">
        <w:tc>
          <w:tcPr>
            <w:tcW w:w="524" w:type="pct"/>
            <w:tcMar>
              <w:top w:w="0" w:type="dxa"/>
              <w:left w:w="45" w:type="dxa"/>
              <w:bottom w:w="0" w:type="dxa"/>
              <w:right w:w="45" w:type="dxa"/>
            </w:tcMar>
            <w:vAlign w:val="center"/>
            <w:hideMark/>
          </w:tcPr>
          <w:p w:rsidR="0001090D" w:rsidRDefault="0001090D" w:rsidP="00C96881">
            <w:pPr>
              <w:spacing w:line="240" w:lineRule="auto"/>
              <w:jc w:val="center"/>
              <w:rPr>
                <w:rFonts w:ascii="Arial" w:hAnsi="Arial" w:cs="Arial"/>
                <w:b/>
                <w:bCs/>
                <w:color w:val="000000"/>
                <w:sz w:val="20"/>
                <w:szCs w:val="20"/>
              </w:rPr>
            </w:pPr>
            <w:r>
              <w:rPr>
                <w:rFonts w:ascii="Arial" w:hAnsi="Arial" w:cs="Arial"/>
                <w:b/>
                <w:bCs/>
                <w:color w:val="000000"/>
                <w:sz w:val="20"/>
                <w:szCs w:val="20"/>
              </w:rPr>
              <w:t>Sr. No.</w:t>
            </w:r>
          </w:p>
        </w:tc>
        <w:tc>
          <w:tcPr>
            <w:tcW w:w="3309" w:type="pct"/>
            <w:tcMar>
              <w:top w:w="0" w:type="dxa"/>
              <w:left w:w="45" w:type="dxa"/>
              <w:bottom w:w="0" w:type="dxa"/>
              <w:right w:w="45" w:type="dxa"/>
            </w:tcMar>
            <w:vAlign w:val="center"/>
            <w:hideMark/>
          </w:tcPr>
          <w:p w:rsidR="0001090D" w:rsidRDefault="0001090D" w:rsidP="00C96881">
            <w:pPr>
              <w:jc w:val="center"/>
              <w:rPr>
                <w:rFonts w:ascii="Arial" w:hAnsi="Arial" w:cs="Arial"/>
                <w:b/>
                <w:bCs/>
                <w:color w:val="000000"/>
                <w:sz w:val="20"/>
                <w:szCs w:val="20"/>
              </w:rPr>
            </w:pPr>
            <w:r>
              <w:rPr>
                <w:rFonts w:ascii="Arial" w:hAnsi="Arial" w:cs="Arial"/>
                <w:b/>
                <w:bCs/>
                <w:color w:val="000000"/>
                <w:sz w:val="20"/>
                <w:szCs w:val="20"/>
              </w:rPr>
              <w:t>Type of Reporting delays</w:t>
            </w:r>
          </w:p>
        </w:tc>
        <w:tc>
          <w:tcPr>
            <w:tcW w:w="1167" w:type="pct"/>
            <w:tcMar>
              <w:top w:w="0" w:type="dxa"/>
              <w:left w:w="45" w:type="dxa"/>
              <w:bottom w:w="0" w:type="dxa"/>
              <w:right w:w="45" w:type="dxa"/>
            </w:tcMar>
            <w:vAlign w:val="center"/>
            <w:hideMark/>
          </w:tcPr>
          <w:p w:rsidR="0001090D" w:rsidRDefault="0001090D" w:rsidP="00C96881">
            <w:pPr>
              <w:jc w:val="center"/>
              <w:rPr>
                <w:rFonts w:ascii="Arial" w:hAnsi="Arial" w:cs="Arial"/>
                <w:b/>
                <w:bCs/>
                <w:color w:val="000000"/>
                <w:sz w:val="20"/>
                <w:szCs w:val="20"/>
              </w:rPr>
            </w:pPr>
            <w:r>
              <w:rPr>
                <w:rFonts w:ascii="Arial" w:hAnsi="Arial" w:cs="Arial"/>
                <w:b/>
                <w:bCs/>
                <w:color w:val="000000"/>
                <w:sz w:val="20"/>
                <w:szCs w:val="20"/>
              </w:rPr>
              <w:t>LSF Amount (INR)</w:t>
            </w:r>
          </w:p>
        </w:tc>
      </w:tr>
      <w:tr w:rsidR="0001090D" w:rsidTr="00C96881">
        <w:tc>
          <w:tcPr>
            <w:tcW w:w="524" w:type="pct"/>
            <w:tcMar>
              <w:top w:w="0" w:type="dxa"/>
              <w:left w:w="45" w:type="dxa"/>
              <w:bottom w:w="0" w:type="dxa"/>
              <w:right w:w="45" w:type="dxa"/>
            </w:tcMar>
            <w:vAlign w:val="center"/>
            <w:hideMark/>
          </w:tcPr>
          <w:p w:rsidR="0001090D" w:rsidRDefault="0001090D" w:rsidP="00C96881">
            <w:pPr>
              <w:jc w:val="center"/>
              <w:rPr>
                <w:rFonts w:ascii="Arial" w:hAnsi="Arial" w:cs="Arial"/>
                <w:color w:val="000000"/>
                <w:sz w:val="20"/>
                <w:szCs w:val="20"/>
              </w:rPr>
            </w:pPr>
            <w:r>
              <w:rPr>
                <w:rFonts w:ascii="Arial" w:hAnsi="Arial" w:cs="Arial"/>
                <w:color w:val="000000"/>
                <w:sz w:val="20"/>
                <w:szCs w:val="20"/>
              </w:rPr>
              <w:t>1</w:t>
            </w:r>
          </w:p>
        </w:tc>
        <w:tc>
          <w:tcPr>
            <w:tcW w:w="3309" w:type="pct"/>
            <w:tcMar>
              <w:top w:w="0" w:type="dxa"/>
              <w:left w:w="45" w:type="dxa"/>
              <w:bottom w:w="0" w:type="dxa"/>
              <w:right w:w="45" w:type="dxa"/>
            </w:tcMar>
            <w:vAlign w:val="center"/>
            <w:hideMark/>
          </w:tcPr>
          <w:p w:rsidR="0001090D" w:rsidRDefault="0001090D" w:rsidP="00C96881">
            <w:pPr>
              <w:jc w:val="both"/>
              <w:rPr>
                <w:rFonts w:ascii="Arial" w:hAnsi="Arial" w:cs="Arial"/>
                <w:color w:val="000000"/>
                <w:sz w:val="20"/>
                <w:szCs w:val="20"/>
              </w:rPr>
            </w:pPr>
            <w:r>
              <w:rPr>
                <w:rFonts w:ascii="Arial" w:hAnsi="Arial" w:cs="Arial"/>
                <w:color w:val="000000"/>
                <w:sz w:val="20"/>
                <w:szCs w:val="20"/>
              </w:rPr>
              <w:t>Form ODI Part-II/ APR, FCGPR (B), FLA Returns, Form OPI, evidence of investment or any other return which does not capture flows or any other periodical reporting</w:t>
            </w:r>
          </w:p>
        </w:tc>
        <w:tc>
          <w:tcPr>
            <w:tcW w:w="1167" w:type="pct"/>
            <w:tcMar>
              <w:top w:w="0" w:type="dxa"/>
              <w:left w:w="45" w:type="dxa"/>
              <w:bottom w:w="0" w:type="dxa"/>
              <w:right w:w="45" w:type="dxa"/>
            </w:tcMar>
            <w:vAlign w:val="center"/>
            <w:hideMark/>
          </w:tcPr>
          <w:p w:rsidR="0001090D" w:rsidRDefault="0001090D" w:rsidP="00C96881">
            <w:pPr>
              <w:jc w:val="center"/>
              <w:rPr>
                <w:rFonts w:ascii="Arial" w:hAnsi="Arial" w:cs="Arial"/>
                <w:color w:val="000000"/>
                <w:sz w:val="20"/>
                <w:szCs w:val="20"/>
              </w:rPr>
            </w:pPr>
            <w:r>
              <w:rPr>
                <w:rFonts w:ascii="Arial" w:hAnsi="Arial" w:cs="Arial"/>
                <w:color w:val="000000"/>
                <w:sz w:val="20"/>
                <w:szCs w:val="20"/>
              </w:rPr>
              <w:t>7500</w:t>
            </w:r>
          </w:p>
        </w:tc>
      </w:tr>
      <w:tr w:rsidR="0001090D" w:rsidTr="00C96881">
        <w:tc>
          <w:tcPr>
            <w:tcW w:w="524" w:type="pct"/>
            <w:tcMar>
              <w:top w:w="0" w:type="dxa"/>
              <w:left w:w="45" w:type="dxa"/>
              <w:bottom w:w="0" w:type="dxa"/>
              <w:right w:w="45" w:type="dxa"/>
            </w:tcMar>
            <w:vAlign w:val="center"/>
            <w:hideMark/>
          </w:tcPr>
          <w:p w:rsidR="0001090D" w:rsidRDefault="0001090D" w:rsidP="00C96881">
            <w:pPr>
              <w:jc w:val="center"/>
              <w:rPr>
                <w:rFonts w:ascii="Arial" w:hAnsi="Arial" w:cs="Arial"/>
                <w:color w:val="000000"/>
                <w:sz w:val="20"/>
                <w:szCs w:val="20"/>
              </w:rPr>
            </w:pPr>
            <w:r>
              <w:rPr>
                <w:rFonts w:ascii="Arial" w:hAnsi="Arial" w:cs="Arial"/>
                <w:color w:val="000000"/>
                <w:sz w:val="20"/>
                <w:szCs w:val="20"/>
              </w:rPr>
              <w:t>2</w:t>
            </w:r>
          </w:p>
        </w:tc>
        <w:tc>
          <w:tcPr>
            <w:tcW w:w="3309" w:type="pct"/>
            <w:tcMar>
              <w:top w:w="0" w:type="dxa"/>
              <w:left w:w="45" w:type="dxa"/>
              <w:bottom w:w="0" w:type="dxa"/>
              <w:right w:w="45" w:type="dxa"/>
            </w:tcMar>
            <w:vAlign w:val="center"/>
            <w:hideMark/>
          </w:tcPr>
          <w:p w:rsidR="0001090D" w:rsidRDefault="0001090D" w:rsidP="00C96881">
            <w:pPr>
              <w:jc w:val="both"/>
              <w:rPr>
                <w:rFonts w:ascii="Arial" w:hAnsi="Arial" w:cs="Arial"/>
                <w:color w:val="000000"/>
                <w:sz w:val="20"/>
                <w:szCs w:val="20"/>
              </w:rPr>
            </w:pPr>
            <w:r>
              <w:rPr>
                <w:rFonts w:ascii="Arial" w:hAnsi="Arial" w:cs="Arial"/>
                <w:color w:val="000000"/>
                <w:sz w:val="20"/>
                <w:szCs w:val="20"/>
              </w:rPr>
              <w:t xml:space="preserve">FC-GPR, FCTRS, Form ESOP, Form LLP(I), Form LLP(II), Form CN, Form DI, Form </w:t>
            </w:r>
            <w:proofErr w:type="spellStart"/>
            <w:r>
              <w:rPr>
                <w:rFonts w:ascii="Arial" w:hAnsi="Arial" w:cs="Arial"/>
                <w:color w:val="000000"/>
                <w:sz w:val="20"/>
                <w:szCs w:val="20"/>
              </w:rPr>
              <w:t>InVi</w:t>
            </w:r>
            <w:proofErr w:type="spellEnd"/>
            <w:r>
              <w:rPr>
                <w:rFonts w:ascii="Arial" w:hAnsi="Arial" w:cs="Arial"/>
                <w:color w:val="000000"/>
                <w:sz w:val="20"/>
                <w:szCs w:val="20"/>
              </w:rPr>
              <w:t>, Form ODI-Part I, Form ODI-Part III, Form FC, Form ECB, Form ECB-2, Revised Form ECB or any other return which captures flows or returns which capture reporting of non-fund transactions or any other transactional reporting</w:t>
            </w:r>
          </w:p>
        </w:tc>
        <w:tc>
          <w:tcPr>
            <w:tcW w:w="1167" w:type="pct"/>
            <w:tcMar>
              <w:top w:w="0" w:type="dxa"/>
              <w:left w:w="45" w:type="dxa"/>
              <w:bottom w:w="0" w:type="dxa"/>
              <w:right w:w="45" w:type="dxa"/>
            </w:tcMar>
            <w:vAlign w:val="center"/>
            <w:hideMark/>
          </w:tcPr>
          <w:p w:rsidR="0001090D" w:rsidRDefault="0001090D" w:rsidP="00C96881">
            <w:pPr>
              <w:jc w:val="center"/>
              <w:rPr>
                <w:rFonts w:ascii="Arial" w:hAnsi="Arial" w:cs="Arial"/>
                <w:color w:val="000000"/>
                <w:sz w:val="20"/>
                <w:szCs w:val="20"/>
              </w:rPr>
            </w:pPr>
            <w:r>
              <w:rPr>
                <w:rFonts w:ascii="Arial" w:hAnsi="Arial" w:cs="Arial"/>
                <w:color w:val="000000"/>
                <w:sz w:val="20"/>
                <w:szCs w:val="20"/>
              </w:rPr>
              <w:t>[7500 + (0.025% × A × n)]</w:t>
            </w:r>
          </w:p>
        </w:tc>
      </w:tr>
    </w:tbl>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2. The above provisions shall come into effect immediately for the delayed filings made on or after the date of this circular.</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 xml:space="preserve">3. All other provisions of reporting under FEMA remain unchanged. AD Category - I </w:t>
      </w:r>
      <w:proofErr w:type="gramStart"/>
      <w:r>
        <w:rPr>
          <w:rFonts w:ascii="Arial" w:hAnsi="Arial" w:cs="Arial"/>
          <w:color w:val="000000"/>
          <w:sz w:val="20"/>
          <w:szCs w:val="20"/>
        </w:rPr>
        <w:t>banks</w:t>
      </w:r>
      <w:proofErr w:type="gramEnd"/>
      <w:r>
        <w:rPr>
          <w:rFonts w:ascii="Arial" w:hAnsi="Arial" w:cs="Arial"/>
          <w:color w:val="000000"/>
          <w:sz w:val="20"/>
          <w:szCs w:val="20"/>
        </w:rPr>
        <w:t xml:space="preserve"> should bring the contents of this circular to the notice of their constituents and customers.</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4. The ‘</w:t>
      </w:r>
      <w:hyperlink r:id="rId106" w:tgtFrame="_blank" w:history="1">
        <w:r>
          <w:rPr>
            <w:rStyle w:val="Hyperlink"/>
            <w:rFonts w:ascii="Arial" w:hAnsi="Arial" w:cs="Arial"/>
            <w:sz w:val="20"/>
            <w:szCs w:val="20"/>
          </w:rPr>
          <w:t>Master Direction – Reporting under Foreign Exchange Management Act, 1999</w:t>
        </w:r>
      </w:hyperlink>
      <w:r>
        <w:rPr>
          <w:rFonts w:ascii="Arial" w:hAnsi="Arial" w:cs="Arial"/>
          <w:color w:val="000000"/>
          <w:sz w:val="20"/>
          <w:szCs w:val="20"/>
        </w:rPr>
        <w:t>’ and ‘</w:t>
      </w:r>
      <w:hyperlink r:id="rId107" w:tgtFrame="_blank" w:history="1">
        <w:r>
          <w:rPr>
            <w:rStyle w:val="Hyperlink"/>
            <w:rFonts w:ascii="Arial" w:hAnsi="Arial" w:cs="Arial"/>
            <w:sz w:val="20"/>
            <w:szCs w:val="20"/>
          </w:rPr>
          <w:t>Master Direction - External Commercial Borrowings, Trade Credits and Structured Obligations</w:t>
        </w:r>
      </w:hyperlink>
      <w:r>
        <w:rPr>
          <w:rFonts w:ascii="Arial" w:hAnsi="Arial" w:cs="Arial"/>
          <w:color w:val="000000"/>
          <w:sz w:val="20"/>
          <w:szCs w:val="20"/>
        </w:rPr>
        <w:t>’ are being updated to reflect the changes.</w:t>
      </w:r>
    </w:p>
    <w:p w:rsidR="0001090D" w:rsidRDefault="0001090D" w:rsidP="0001090D">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rsidR="0001090D" w:rsidRDefault="0001090D" w:rsidP="0001090D">
      <w:pPr>
        <w:pStyle w:val="NormalWeb"/>
        <w:rPr>
          <w:rFonts w:ascii="Arial" w:hAnsi="Arial" w:cs="Arial"/>
          <w:color w:val="000000"/>
          <w:sz w:val="20"/>
          <w:szCs w:val="20"/>
        </w:rPr>
      </w:pPr>
      <w:r>
        <w:rPr>
          <w:rFonts w:ascii="Arial" w:hAnsi="Arial" w:cs="Arial"/>
          <w:color w:val="000000"/>
          <w:sz w:val="20"/>
          <w:szCs w:val="20"/>
        </w:rPr>
        <w:t xml:space="preserve">Ajay Kumar </w:t>
      </w:r>
      <w:proofErr w:type="spellStart"/>
      <w:r>
        <w:rPr>
          <w:rFonts w:ascii="Arial" w:hAnsi="Arial" w:cs="Arial"/>
          <w:color w:val="000000"/>
          <w:sz w:val="20"/>
          <w:szCs w:val="20"/>
        </w:rPr>
        <w:t>Misra</w:t>
      </w:r>
      <w:proofErr w:type="spellEnd"/>
      <w:r>
        <w:rPr>
          <w:rFonts w:ascii="Arial" w:hAnsi="Arial" w:cs="Arial"/>
          <w:color w:val="000000"/>
          <w:sz w:val="20"/>
          <w:szCs w:val="20"/>
        </w:rPr>
        <w:br/>
        <w:t>Chief General Manager-in-Charge</w:t>
      </w:r>
    </w:p>
    <w:p w:rsidR="0001090D" w:rsidRDefault="0001090D" w:rsidP="0001090D">
      <w:pPr>
        <w:spacing w:after="0"/>
        <w:rPr>
          <w:rFonts w:ascii="Arial" w:hAnsi="Arial" w:cs="Arial"/>
          <w:b/>
          <w:bCs/>
          <w:color w:val="000000"/>
          <w:sz w:val="20"/>
          <w:szCs w:val="20"/>
        </w:rPr>
      </w:pPr>
    </w:p>
    <w:p w:rsidR="0001090D" w:rsidRDefault="0001090D" w:rsidP="0001090D">
      <w:pPr>
        <w:spacing w:after="0"/>
        <w:rPr>
          <w:rFonts w:ascii="Arial" w:hAnsi="Arial" w:cs="Arial"/>
          <w:b/>
          <w:bCs/>
          <w:color w:val="000000"/>
          <w:sz w:val="20"/>
          <w:szCs w:val="20"/>
        </w:rPr>
      </w:pPr>
    </w:p>
    <w:p w:rsidR="0001090D" w:rsidRPr="00435B25" w:rsidRDefault="0001090D" w:rsidP="0001090D">
      <w:pPr>
        <w:spacing w:after="0"/>
        <w:rPr>
          <w:rFonts w:ascii="Arial" w:hAnsi="Arial" w:cs="Arial"/>
          <w:sz w:val="20"/>
          <w:szCs w:val="20"/>
        </w:rPr>
      </w:pPr>
      <w:r w:rsidRPr="00435B25">
        <w:rPr>
          <w:rFonts w:ascii="Arial" w:hAnsi="Arial" w:cs="Arial"/>
          <w:sz w:val="20"/>
          <w:szCs w:val="20"/>
        </w:rPr>
        <w:t>More details can be referred to in the below link.</w:t>
      </w:r>
    </w:p>
    <w:p w:rsidR="0001090D" w:rsidRDefault="0001090D" w:rsidP="0001090D">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108" w:history="1">
        <w:r w:rsidRPr="009517FA">
          <w:rPr>
            <w:rStyle w:val="Hyperlink"/>
            <w:rFonts w:ascii="Arial" w:hAnsi="Arial" w:cs="Arial"/>
            <w:sz w:val="20"/>
            <w:szCs w:val="20"/>
          </w:rPr>
          <w:t>https://www.rbi.org.in/scripts/NotificationUser.aspx?Id=12393&amp;Mode=0</w:t>
        </w:r>
      </w:hyperlink>
    </w:p>
    <w:p w:rsidR="0001090D" w:rsidRDefault="0001090D" w:rsidP="0001090D">
      <w:pPr>
        <w:rPr>
          <w:rFonts w:ascii="Arial" w:hAnsi="Arial" w:cs="Arial"/>
          <w:bCs/>
          <w:color w:val="000000"/>
          <w:sz w:val="20"/>
          <w:szCs w:val="20"/>
        </w:rPr>
      </w:pPr>
    </w:p>
    <w:p w:rsidR="0001090D" w:rsidRDefault="0001090D" w:rsidP="0001090D">
      <w:pPr>
        <w:rPr>
          <w:rFonts w:ascii="Arial" w:hAnsi="Arial" w:cs="Arial"/>
          <w:b/>
          <w:bCs/>
          <w:color w:val="000000"/>
          <w:sz w:val="20"/>
          <w:szCs w:val="20"/>
        </w:rPr>
      </w:pPr>
      <w:r>
        <w:rPr>
          <w:rFonts w:ascii="Arial" w:hAnsi="Arial" w:cs="Arial"/>
          <w:b/>
          <w:bCs/>
          <w:color w:val="000000"/>
          <w:sz w:val="20"/>
          <w:szCs w:val="20"/>
        </w:rPr>
        <w:t>Appointment of Internal Ombudsman by the Credit Information Companies</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RBI/2022-23/124</w:t>
      </w:r>
      <w:r>
        <w:rPr>
          <w:rFonts w:ascii="Arial" w:hAnsi="Arial" w:cs="Arial"/>
          <w:color w:val="000000"/>
          <w:sz w:val="20"/>
          <w:szCs w:val="20"/>
        </w:rPr>
        <w:br/>
        <w:t>CEPD.PRD.No.S806/13-01-008/2022-23</w:t>
      </w:r>
    </w:p>
    <w:p w:rsidR="0001090D" w:rsidRDefault="0001090D" w:rsidP="0001090D">
      <w:pPr>
        <w:pStyle w:val="NormalWeb"/>
        <w:jc w:val="right"/>
        <w:rPr>
          <w:rFonts w:ascii="Arial" w:hAnsi="Arial" w:cs="Arial"/>
          <w:color w:val="000000"/>
          <w:sz w:val="20"/>
          <w:szCs w:val="20"/>
        </w:rPr>
      </w:pPr>
      <w:r>
        <w:rPr>
          <w:rFonts w:ascii="Arial" w:hAnsi="Arial" w:cs="Arial"/>
          <w:color w:val="000000"/>
          <w:sz w:val="20"/>
          <w:szCs w:val="20"/>
        </w:rPr>
        <w:t>October 6, 2022</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All Credit Information Companies</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Madam/ Sir,</w:t>
      </w:r>
    </w:p>
    <w:p w:rsidR="0001090D" w:rsidRDefault="0001090D" w:rsidP="0001090D">
      <w:pPr>
        <w:pStyle w:val="head"/>
        <w:jc w:val="both"/>
        <w:rPr>
          <w:rFonts w:ascii="Arial" w:hAnsi="Arial" w:cs="Arial"/>
          <w:b/>
          <w:bCs/>
          <w:color w:val="000000"/>
          <w:sz w:val="20"/>
          <w:szCs w:val="20"/>
        </w:rPr>
      </w:pPr>
      <w:r>
        <w:rPr>
          <w:rFonts w:ascii="Arial" w:hAnsi="Arial" w:cs="Arial"/>
          <w:b/>
          <w:bCs/>
          <w:color w:val="000000"/>
          <w:sz w:val="20"/>
          <w:szCs w:val="20"/>
        </w:rPr>
        <w:t>Appointment of Internal Ombudsman by the Credit Information Companies</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Please refer to paragraph 2 of the </w:t>
      </w:r>
      <w:hyperlink r:id="rId109" w:tgtFrame="_blank" w:history="1">
        <w:r>
          <w:rPr>
            <w:rStyle w:val="Hyperlink"/>
            <w:rFonts w:ascii="Arial" w:hAnsi="Arial" w:cs="Arial"/>
            <w:sz w:val="20"/>
            <w:szCs w:val="20"/>
          </w:rPr>
          <w:t>Statement on Developmental and Regulatory Policies dated August 5, 2022</w:t>
        </w:r>
      </w:hyperlink>
      <w:r>
        <w:rPr>
          <w:rFonts w:ascii="Arial" w:hAnsi="Arial" w:cs="Arial"/>
          <w:color w:val="000000"/>
          <w:sz w:val="20"/>
          <w:szCs w:val="20"/>
        </w:rPr>
        <w:t xml:space="preserve">, wherein the decision to bring Credit Information Companies (CICs) under the Internal Ombudsman (IO) Framework was announced with a view to strengthen and improve the efficiency of the internal grievance </w:t>
      </w:r>
      <w:proofErr w:type="spellStart"/>
      <w:r>
        <w:rPr>
          <w:rFonts w:ascii="Arial" w:hAnsi="Arial" w:cs="Arial"/>
          <w:color w:val="000000"/>
          <w:sz w:val="20"/>
          <w:szCs w:val="20"/>
        </w:rPr>
        <w:t>redressal</w:t>
      </w:r>
      <w:proofErr w:type="spellEnd"/>
      <w:r>
        <w:rPr>
          <w:rFonts w:ascii="Arial" w:hAnsi="Arial" w:cs="Arial"/>
          <w:color w:val="000000"/>
          <w:sz w:val="20"/>
          <w:szCs w:val="20"/>
        </w:rPr>
        <w:t xml:space="preserve"> mechanisms of CICs.</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2. Accordingly, in exercise of the powers conferred by sub section (1) of Section 11 of the Credit Information Companies (Regulation) Act, 2005 (the Act), the Reserve Bank of India, being satisfied that it is in public interest to do so, directs all Credit Information Companies holding a Certificate of Registration under sub-section (2) of Section 5 of the Act, to comply with the Reserve Bank of India (Credit Information Companies- Internal Ombudsman) Directions, 2022 </w:t>
      </w:r>
      <w:hyperlink r:id="rId110" w:anchor="AN" w:history="1">
        <w:r>
          <w:rPr>
            <w:rStyle w:val="Hyperlink"/>
            <w:rFonts w:ascii="Arial" w:hAnsi="Arial" w:cs="Arial"/>
            <w:sz w:val="20"/>
            <w:szCs w:val="20"/>
          </w:rPr>
          <w:t>annexed</w:t>
        </w:r>
      </w:hyperlink>
      <w:r>
        <w:rPr>
          <w:rFonts w:ascii="Arial" w:hAnsi="Arial" w:cs="Arial"/>
          <w:color w:val="000000"/>
          <w:sz w:val="20"/>
          <w:szCs w:val="20"/>
        </w:rPr>
        <w:t> herewith, by April 1, 2023.</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Yours faithfully,</w:t>
      </w:r>
    </w:p>
    <w:p w:rsidR="0001090D" w:rsidRDefault="0001090D" w:rsidP="0001090D">
      <w:pPr>
        <w:pStyle w:val="NormalWeb"/>
        <w:rPr>
          <w:rFonts w:ascii="Arial" w:hAnsi="Arial" w:cs="Arial"/>
          <w:color w:val="000000"/>
          <w:sz w:val="20"/>
          <w:szCs w:val="20"/>
        </w:rPr>
      </w:pPr>
      <w:r>
        <w:rPr>
          <w:rFonts w:ascii="Arial" w:hAnsi="Arial" w:cs="Arial"/>
          <w:color w:val="000000"/>
          <w:sz w:val="20"/>
          <w:szCs w:val="20"/>
        </w:rPr>
        <w:t>(Anupam Sonal)</w:t>
      </w:r>
      <w:r>
        <w:rPr>
          <w:rFonts w:ascii="Arial" w:hAnsi="Arial" w:cs="Arial"/>
          <w:color w:val="000000"/>
          <w:sz w:val="20"/>
          <w:szCs w:val="20"/>
        </w:rPr>
        <w:br/>
        <w:t>Chief General Manager</w:t>
      </w:r>
    </w:p>
    <w:p w:rsidR="0001090D" w:rsidRDefault="0001090D" w:rsidP="0001090D">
      <w:pPr>
        <w:rPr>
          <w:rFonts w:ascii="Arial" w:hAnsi="Arial" w:cs="Arial"/>
          <w:b/>
          <w:bCs/>
          <w:color w:val="000000"/>
          <w:sz w:val="20"/>
          <w:szCs w:val="20"/>
        </w:rPr>
      </w:pPr>
    </w:p>
    <w:p w:rsidR="0001090D" w:rsidRDefault="0001090D" w:rsidP="0001090D">
      <w:pPr>
        <w:rPr>
          <w:rFonts w:ascii="Arial" w:hAnsi="Arial" w:cs="Arial"/>
          <w:b/>
          <w:bCs/>
          <w:color w:val="000000"/>
          <w:sz w:val="20"/>
          <w:szCs w:val="20"/>
        </w:rPr>
      </w:pPr>
    </w:p>
    <w:p w:rsidR="0001090D" w:rsidRDefault="0001090D" w:rsidP="0001090D">
      <w:pPr>
        <w:rPr>
          <w:rFonts w:ascii="Arial" w:hAnsi="Arial" w:cs="Arial"/>
          <w:b/>
          <w:bCs/>
          <w:color w:val="000000"/>
          <w:sz w:val="20"/>
          <w:szCs w:val="20"/>
        </w:rPr>
      </w:pPr>
    </w:p>
    <w:p w:rsidR="0001090D" w:rsidRDefault="0001090D" w:rsidP="0001090D">
      <w:pPr>
        <w:rPr>
          <w:rFonts w:ascii="Arial" w:hAnsi="Arial" w:cs="Arial"/>
          <w:b/>
          <w:bCs/>
          <w:color w:val="000000"/>
          <w:sz w:val="20"/>
          <w:szCs w:val="20"/>
        </w:rPr>
      </w:pPr>
    </w:p>
    <w:p w:rsidR="0001090D" w:rsidRPr="00435B25" w:rsidRDefault="0001090D" w:rsidP="0001090D">
      <w:pPr>
        <w:spacing w:after="0"/>
        <w:rPr>
          <w:rFonts w:ascii="Arial" w:hAnsi="Arial" w:cs="Arial"/>
          <w:sz w:val="20"/>
          <w:szCs w:val="20"/>
        </w:rPr>
      </w:pPr>
      <w:r w:rsidRPr="00435B25">
        <w:rPr>
          <w:rFonts w:ascii="Arial" w:hAnsi="Arial" w:cs="Arial"/>
          <w:sz w:val="20"/>
          <w:szCs w:val="20"/>
        </w:rPr>
        <w:t>More details can be referred to in the below link.</w:t>
      </w:r>
    </w:p>
    <w:p w:rsidR="0001090D" w:rsidRDefault="0001090D" w:rsidP="0001090D">
      <w:pPr>
        <w:rPr>
          <w:rFonts w:ascii="Arial" w:hAnsi="Arial" w:cs="Arial"/>
          <w:bCs/>
          <w:color w:val="000000"/>
          <w:sz w:val="20"/>
          <w:szCs w:val="20"/>
        </w:rPr>
      </w:pPr>
      <w:r w:rsidRPr="00435B25">
        <w:rPr>
          <w:rFonts w:ascii="Arial" w:hAnsi="Arial" w:cs="Arial"/>
          <w:sz w:val="20"/>
          <w:szCs w:val="20"/>
        </w:rPr>
        <w:t>Reference Link:</w:t>
      </w:r>
      <w:r>
        <w:rPr>
          <w:rFonts w:ascii="Arial" w:hAnsi="Arial" w:cs="Arial"/>
          <w:b/>
          <w:bCs/>
          <w:color w:val="000000"/>
          <w:sz w:val="20"/>
          <w:szCs w:val="20"/>
        </w:rPr>
        <w:t xml:space="preserve"> </w:t>
      </w:r>
      <w:hyperlink r:id="rId111" w:history="1">
        <w:r w:rsidRPr="009517FA">
          <w:rPr>
            <w:rStyle w:val="Hyperlink"/>
            <w:rFonts w:ascii="Arial" w:hAnsi="Arial" w:cs="Arial"/>
            <w:bCs/>
            <w:sz w:val="20"/>
            <w:szCs w:val="20"/>
          </w:rPr>
          <w:t>https://www.rbi.org.in/Scripts/NotificationUser.aspx?Id=12395&amp;Mode=0</w:t>
        </w:r>
      </w:hyperlink>
    </w:p>
    <w:p w:rsidR="0001090D" w:rsidRDefault="0001090D" w:rsidP="0001090D">
      <w:pPr>
        <w:rPr>
          <w:rFonts w:ascii="Arial" w:hAnsi="Arial" w:cs="Arial"/>
          <w:b/>
          <w:bCs/>
          <w:color w:val="000000"/>
          <w:sz w:val="20"/>
          <w:szCs w:val="20"/>
        </w:rPr>
      </w:pPr>
    </w:p>
    <w:p w:rsidR="0001090D" w:rsidRDefault="0001090D" w:rsidP="0001090D">
      <w:pPr>
        <w:rPr>
          <w:rFonts w:ascii="Arial" w:hAnsi="Arial" w:cs="Arial"/>
          <w:b/>
          <w:bCs/>
          <w:color w:val="000000"/>
          <w:sz w:val="20"/>
          <w:szCs w:val="20"/>
        </w:rPr>
      </w:pPr>
    </w:p>
    <w:p w:rsidR="0001090D" w:rsidRDefault="0001090D" w:rsidP="0001090D">
      <w:pPr>
        <w:rPr>
          <w:rFonts w:ascii="Arial" w:hAnsi="Arial" w:cs="Arial"/>
          <w:b/>
          <w:bCs/>
          <w:color w:val="000000"/>
          <w:sz w:val="20"/>
          <w:szCs w:val="20"/>
        </w:rPr>
      </w:pPr>
    </w:p>
    <w:p w:rsidR="0001090D" w:rsidRDefault="0001090D" w:rsidP="0001090D">
      <w:pPr>
        <w:rPr>
          <w:rFonts w:ascii="Arial" w:hAnsi="Arial" w:cs="Arial"/>
          <w:b/>
          <w:bCs/>
          <w:color w:val="000000"/>
          <w:sz w:val="20"/>
          <w:szCs w:val="20"/>
        </w:rPr>
      </w:pPr>
    </w:p>
    <w:p w:rsidR="0001090D" w:rsidRDefault="0001090D" w:rsidP="0001090D">
      <w:pPr>
        <w:rPr>
          <w:rFonts w:ascii="Arial" w:hAnsi="Arial" w:cs="Arial"/>
          <w:b/>
          <w:bCs/>
          <w:color w:val="000000"/>
          <w:sz w:val="20"/>
          <w:szCs w:val="20"/>
        </w:rPr>
      </w:pPr>
    </w:p>
    <w:p w:rsidR="0001090D" w:rsidRDefault="0001090D" w:rsidP="0001090D">
      <w:pPr>
        <w:rPr>
          <w:rFonts w:ascii="Arial" w:hAnsi="Arial" w:cs="Arial"/>
          <w:b/>
          <w:bCs/>
          <w:color w:val="000000"/>
          <w:sz w:val="20"/>
          <w:szCs w:val="20"/>
        </w:rPr>
      </w:pPr>
    </w:p>
    <w:p w:rsidR="0001090D" w:rsidRDefault="0001090D" w:rsidP="0001090D">
      <w:pPr>
        <w:rPr>
          <w:rFonts w:ascii="Arial" w:hAnsi="Arial" w:cs="Arial"/>
          <w:b/>
          <w:bCs/>
          <w:color w:val="000000"/>
          <w:sz w:val="20"/>
          <w:szCs w:val="20"/>
        </w:rPr>
      </w:pPr>
    </w:p>
    <w:p w:rsidR="0001090D" w:rsidRDefault="0001090D" w:rsidP="0001090D">
      <w:pPr>
        <w:rPr>
          <w:rFonts w:ascii="Arial" w:hAnsi="Arial" w:cs="Arial"/>
          <w:b/>
          <w:bCs/>
          <w:color w:val="000000"/>
          <w:sz w:val="20"/>
          <w:szCs w:val="20"/>
        </w:rPr>
      </w:pPr>
    </w:p>
    <w:p w:rsidR="0001090D" w:rsidRDefault="0001090D" w:rsidP="0001090D">
      <w:pPr>
        <w:rPr>
          <w:rFonts w:ascii="Arial" w:hAnsi="Arial" w:cs="Arial"/>
          <w:b/>
          <w:bCs/>
          <w:color w:val="000000"/>
          <w:sz w:val="20"/>
          <w:szCs w:val="20"/>
        </w:rPr>
      </w:pPr>
    </w:p>
    <w:p w:rsidR="0001090D" w:rsidRDefault="0001090D" w:rsidP="0001090D">
      <w:pPr>
        <w:rPr>
          <w:rFonts w:ascii="Arial" w:hAnsi="Arial" w:cs="Arial"/>
          <w:bCs/>
          <w:color w:val="000000"/>
          <w:sz w:val="20"/>
          <w:szCs w:val="20"/>
        </w:rPr>
      </w:pPr>
    </w:p>
    <w:p w:rsidR="0001090D" w:rsidRDefault="0001090D" w:rsidP="0001090D">
      <w:pPr>
        <w:rPr>
          <w:rFonts w:ascii="Arial" w:hAnsi="Arial" w:cs="Arial"/>
          <w:b/>
          <w:bCs/>
          <w:color w:val="000000"/>
          <w:sz w:val="20"/>
          <w:szCs w:val="20"/>
        </w:rPr>
      </w:pPr>
      <w:r>
        <w:rPr>
          <w:rFonts w:ascii="Arial" w:hAnsi="Arial" w:cs="Arial"/>
          <w:b/>
          <w:bCs/>
          <w:color w:val="000000"/>
          <w:sz w:val="20"/>
          <w:szCs w:val="20"/>
        </w:rPr>
        <w:t>Review of Prudential Norms – Risk Weights for Exposures to Corporates and NBFCs</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RBI/2022-23/125</w:t>
      </w:r>
      <w:r>
        <w:rPr>
          <w:rFonts w:ascii="Arial" w:hAnsi="Arial" w:cs="Arial"/>
          <w:color w:val="000000"/>
          <w:sz w:val="20"/>
          <w:szCs w:val="20"/>
        </w:rPr>
        <w:br/>
        <w:t>DOR.STR.REC.71/21.06.201/2022-23</w:t>
      </w:r>
    </w:p>
    <w:p w:rsidR="0001090D" w:rsidRDefault="0001090D" w:rsidP="0001090D">
      <w:pPr>
        <w:pStyle w:val="NormalWeb"/>
        <w:jc w:val="right"/>
        <w:rPr>
          <w:rFonts w:ascii="Arial" w:hAnsi="Arial" w:cs="Arial"/>
          <w:color w:val="000000"/>
          <w:sz w:val="20"/>
          <w:szCs w:val="20"/>
        </w:rPr>
      </w:pPr>
      <w:r>
        <w:rPr>
          <w:rFonts w:ascii="Arial" w:hAnsi="Arial" w:cs="Arial"/>
          <w:color w:val="000000"/>
          <w:sz w:val="20"/>
          <w:szCs w:val="20"/>
        </w:rPr>
        <w:t>October 10, 2022</w:t>
      </w:r>
    </w:p>
    <w:p w:rsidR="0001090D" w:rsidRDefault="0001090D" w:rsidP="0001090D">
      <w:pPr>
        <w:pStyle w:val="NormalWeb"/>
        <w:rPr>
          <w:rFonts w:ascii="Arial" w:hAnsi="Arial" w:cs="Arial"/>
          <w:color w:val="000000"/>
          <w:sz w:val="20"/>
          <w:szCs w:val="20"/>
        </w:rPr>
      </w:pPr>
      <w:r>
        <w:rPr>
          <w:rFonts w:ascii="Arial" w:hAnsi="Arial" w:cs="Arial"/>
          <w:color w:val="000000"/>
          <w:sz w:val="20"/>
          <w:szCs w:val="20"/>
        </w:rPr>
        <w:t>All Scheduled Commercial Banks</w:t>
      </w:r>
      <w:r>
        <w:rPr>
          <w:rFonts w:ascii="Arial" w:hAnsi="Arial" w:cs="Arial"/>
          <w:color w:val="000000"/>
          <w:sz w:val="20"/>
          <w:szCs w:val="20"/>
        </w:rPr>
        <w:br/>
        <w:t>(including Small Finance Banks)</w:t>
      </w:r>
      <w:r>
        <w:rPr>
          <w:rFonts w:ascii="Arial" w:hAnsi="Arial" w:cs="Arial"/>
          <w:color w:val="000000"/>
          <w:sz w:val="20"/>
          <w:szCs w:val="20"/>
        </w:rPr>
        <w:br/>
        <w:t>(Excluding Local Area Banks, Regional Rural Banks and Payments Banks)</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Madam/Dear Sir,</w:t>
      </w:r>
    </w:p>
    <w:p w:rsidR="0001090D" w:rsidRDefault="0001090D" w:rsidP="0001090D">
      <w:pPr>
        <w:pStyle w:val="head"/>
        <w:jc w:val="both"/>
        <w:rPr>
          <w:rFonts w:ascii="Arial" w:hAnsi="Arial" w:cs="Arial"/>
          <w:b/>
          <w:bCs/>
          <w:color w:val="000000"/>
          <w:sz w:val="20"/>
          <w:szCs w:val="20"/>
        </w:rPr>
      </w:pPr>
      <w:r>
        <w:rPr>
          <w:rFonts w:ascii="Arial" w:hAnsi="Arial" w:cs="Arial"/>
          <w:b/>
          <w:bCs/>
          <w:color w:val="000000"/>
          <w:sz w:val="20"/>
          <w:szCs w:val="20"/>
        </w:rPr>
        <w:t>Review of Prudential Norms – Risk Weights for Exposures to Corporates and NBFCs</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Please refer to paragraph 6.8.1 (i) of </w:t>
      </w:r>
      <w:hyperlink r:id="rId112" w:tgtFrame="_blank" w:history="1">
        <w:r>
          <w:rPr>
            <w:rStyle w:val="Hyperlink"/>
            <w:rFonts w:ascii="Arial" w:hAnsi="Arial" w:cs="Arial"/>
            <w:sz w:val="20"/>
            <w:szCs w:val="20"/>
          </w:rPr>
          <w:t>Master Circular on Basel III capital regulations dated April 1, 2022</w:t>
        </w:r>
      </w:hyperlink>
      <w:r>
        <w:rPr>
          <w:rFonts w:ascii="Arial" w:hAnsi="Arial" w:cs="Arial"/>
          <w:color w:val="000000"/>
          <w:sz w:val="20"/>
          <w:szCs w:val="20"/>
        </w:rPr>
        <w:t xml:space="preserve"> in terms of which banks are permitted to derive risk weights for their unrated exposures based on the ratings available for a specific rated debt subject to the conditions specified that the bank’s facility ranks </w:t>
      </w:r>
      <w:proofErr w:type="spellStart"/>
      <w:r>
        <w:rPr>
          <w:rFonts w:ascii="Arial" w:hAnsi="Arial" w:cs="Arial"/>
          <w:color w:val="000000"/>
          <w:sz w:val="20"/>
          <w:szCs w:val="20"/>
        </w:rPr>
        <w:t>pari</w:t>
      </w:r>
      <w:proofErr w:type="spellEnd"/>
      <w:r>
        <w:rPr>
          <w:rFonts w:ascii="Arial" w:hAnsi="Arial" w:cs="Arial"/>
          <w:color w:val="000000"/>
          <w:sz w:val="20"/>
          <w:szCs w:val="20"/>
        </w:rPr>
        <w:t xml:space="preserve"> </w:t>
      </w:r>
      <w:proofErr w:type="spellStart"/>
      <w:r>
        <w:rPr>
          <w:rFonts w:ascii="Arial" w:hAnsi="Arial" w:cs="Arial"/>
          <w:color w:val="000000"/>
          <w:sz w:val="20"/>
          <w:szCs w:val="20"/>
        </w:rPr>
        <w:t>passu</w:t>
      </w:r>
      <w:proofErr w:type="spellEnd"/>
      <w:r>
        <w:rPr>
          <w:rFonts w:ascii="Arial" w:hAnsi="Arial" w:cs="Arial"/>
          <w:color w:val="000000"/>
          <w:sz w:val="20"/>
          <w:szCs w:val="20"/>
        </w:rPr>
        <w:t xml:space="preserve"> or senior to the specific rated debt in all respects and the maturity of the unassessed claim is not later than the maturity of the rated claim. Banks may also refer to paragraph 6.2.5 of the Master Circular ibid regarding publication of bank loan ratings by External Credit Assessment Institutions (ECAIs).</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 xml:space="preserve">2. It is observed that the Press Releases (PRs) issued by ECAIs on rating actions are often devoid of the lenders’ details. Absence of such information may result in banks applying the derived risk weights for unrated exposures, without satisfying themselves regarding adherence to prescribed conditions. This may, consequentially, lead to potentially lower provision of capital as well as </w:t>
      </w:r>
      <w:proofErr w:type="spellStart"/>
      <w:r>
        <w:rPr>
          <w:rFonts w:ascii="Arial" w:hAnsi="Arial" w:cs="Arial"/>
          <w:color w:val="000000"/>
          <w:sz w:val="20"/>
          <w:szCs w:val="20"/>
        </w:rPr>
        <w:t>underpricing</w:t>
      </w:r>
      <w:proofErr w:type="spellEnd"/>
      <w:r>
        <w:rPr>
          <w:rFonts w:ascii="Arial" w:hAnsi="Arial" w:cs="Arial"/>
          <w:color w:val="000000"/>
          <w:sz w:val="20"/>
          <w:szCs w:val="20"/>
        </w:rPr>
        <w:t xml:space="preserve"> of risks. In order to address the above information asymmetry, the Reserve Bank had advised the ECAIs vide letter dated June 4, 2021 to disclose the name of the banks and the corresponding credit facilities rated by them in the PRs issued on rating actions by August 31, 2021, after obtaining requisite consent from the borrowers.</w:t>
      </w:r>
    </w:p>
    <w:p w:rsidR="0001090D" w:rsidRDefault="0001090D" w:rsidP="0001090D">
      <w:pPr>
        <w:pStyle w:val="NormalWeb"/>
        <w:jc w:val="both"/>
        <w:rPr>
          <w:rFonts w:ascii="Arial" w:hAnsi="Arial" w:cs="Arial"/>
          <w:color w:val="000000"/>
          <w:sz w:val="20"/>
          <w:szCs w:val="20"/>
        </w:rPr>
      </w:pPr>
      <w:r>
        <w:rPr>
          <w:rFonts w:ascii="Arial" w:hAnsi="Arial" w:cs="Arial"/>
          <w:color w:val="000000"/>
          <w:sz w:val="20"/>
          <w:szCs w:val="20"/>
        </w:rPr>
        <w:t>3. However, on a review it has been observed that the above disclosures are not available in a large number of PRs issued by ECAIs owing to the absence of requisite consent by the borrowers to the ECAIs. It is, therefore, advised that a bank loan rating without the above disclosure by the ECAI shall not be eligible for being reckoned for capital computation by banks. Banks shall treat such exposures as unrated and assign applicable risk weights in terms of paragraph 5.8.1 of the Master Circular ibid read with amendments carried out from time to time.</w:t>
      </w:r>
    </w:p>
    <w:p w:rsidR="0001090D" w:rsidRDefault="0001090D" w:rsidP="0001090D">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01090D" w:rsidRDefault="0001090D" w:rsidP="0001090D">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01090D" w:rsidRDefault="0001090D" w:rsidP="0001090D">
      <w:pPr>
        <w:rPr>
          <w:rFonts w:ascii="Arial" w:hAnsi="Arial" w:cs="Arial"/>
          <w:sz w:val="20"/>
          <w:szCs w:val="20"/>
        </w:rPr>
      </w:pPr>
    </w:p>
    <w:p w:rsidR="0001090D" w:rsidRDefault="0001090D" w:rsidP="0001090D">
      <w:pPr>
        <w:rPr>
          <w:rFonts w:ascii="Arial" w:hAnsi="Arial" w:cs="Arial"/>
          <w:sz w:val="20"/>
          <w:szCs w:val="20"/>
        </w:rPr>
      </w:pPr>
    </w:p>
    <w:p w:rsidR="0001090D" w:rsidRDefault="0001090D" w:rsidP="0001090D">
      <w:r>
        <w:t>More details can be referred to in the below link.</w:t>
      </w:r>
    </w:p>
    <w:p w:rsidR="0001090D" w:rsidRDefault="0001090D" w:rsidP="0001090D">
      <w:pPr>
        <w:rPr>
          <w:rFonts w:ascii="Arial" w:hAnsi="Arial" w:cs="Arial"/>
          <w:bCs/>
          <w:color w:val="000000"/>
          <w:sz w:val="20"/>
          <w:szCs w:val="20"/>
        </w:rPr>
      </w:pPr>
      <w:r>
        <w:rPr>
          <w:rFonts w:ascii="Arial" w:hAnsi="Arial" w:cs="Arial"/>
          <w:bCs/>
          <w:color w:val="000000"/>
          <w:sz w:val="20"/>
          <w:szCs w:val="20"/>
        </w:rPr>
        <w:t xml:space="preserve">Reference Link: </w:t>
      </w:r>
      <w:hyperlink r:id="rId113" w:history="1">
        <w:r w:rsidRPr="00B27270">
          <w:rPr>
            <w:rStyle w:val="Hyperlink"/>
            <w:rFonts w:ascii="Arial" w:hAnsi="Arial" w:cs="Arial"/>
            <w:bCs/>
            <w:sz w:val="20"/>
            <w:szCs w:val="20"/>
          </w:rPr>
          <w:t>https://www.rbi.org.in/Scripts/NotificationUser.aspx?Id=12396&amp;Mode=0</w:t>
        </w:r>
      </w:hyperlink>
    </w:p>
    <w:p w:rsidR="0001090D" w:rsidRDefault="0001090D" w:rsidP="0001090D">
      <w:pPr>
        <w:rPr>
          <w:rFonts w:ascii="Arial" w:hAnsi="Arial" w:cs="Arial"/>
          <w:sz w:val="20"/>
          <w:szCs w:val="20"/>
        </w:rPr>
      </w:pPr>
    </w:p>
    <w:p w:rsidR="0001090D" w:rsidRDefault="0001090D" w:rsidP="0001090D">
      <w:pPr>
        <w:rPr>
          <w:rFonts w:ascii="Arial" w:hAnsi="Arial" w:cs="Arial"/>
          <w:sz w:val="20"/>
          <w:szCs w:val="20"/>
        </w:rPr>
      </w:pPr>
    </w:p>
    <w:p w:rsidR="0001090D" w:rsidRDefault="0001090D" w:rsidP="0001090D">
      <w:pPr>
        <w:rPr>
          <w:rFonts w:ascii="Arial" w:hAnsi="Arial" w:cs="Arial"/>
          <w:sz w:val="20"/>
          <w:szCs w:val="20"/>
        </w:rPr>
      </w:pPr>
    </w:p>
    <w:p w:rsidR="0001090D" w:rsidRDefault="0001090D" w:rsidP="0001090D">
      <w:pPr>
        <w:rPr>
          <w:rFonts w:ascii="Arial" w:hAnsi="Arial" w:cs="Arial"/>
          <w:bCs/>
          <w:color w:val="000000"/>
          <w:sz w:val="20"/>
          <w:szCs w:val="20"/>
        </w:rPr>
      </w:pPr>
    </w:p>
    <w:p w:rsidR="00C96881" w:rsidRDefault="00C96881" w:rsidP="00C96881">
      <w:pPr>
        <w:rPr>
          <w:rFonts w:ascii="Arial" w:hAnsi="Arial" w:cs="Arial"/>
          <w:b/>
          <w:bCs/>
          <w:color w:val="000000"/>
          <w:sz w:val="20"/>
          <w:szCs w:val="20"/>
        </w:rPr>
      </w:pPr>
      <w:r>
        <w:rPr>
          <w:rFonts w:ascii="Arial" w:hAnsi="Arial" w:cs="Arial"/>
          <w:b/>
          <w:bCs/>
          <w:color w:val="000000"/>
          <w:sz w:val="20"/>
          <w:szCs w:val="20"/>
        </w:rPr>
        <w:t>Diversification of activities by SPDs – Review of permissible non-core activities</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RBI/2022-23/126</w:t>
      </w:r>
      <w:r>
        <w:rPr>
          <w:rFonts w:ascii="Arial" w:hAnsi="Arial" w:cs="Arial"/>
          <w:color w:val="000000"/>
          <w:sz w:val="20"/>
          <w:szCs w:val="20"/>
        </w:rPr>
        <w:br/>
        <w:t>DOR.FIN.REC.No.72/03.10.117/2022-23</w:t>
      </w:r>
    </w:p>
    <w:p w:rsidR="00C96881" w:rsidRDefault="00C96881" w:rsidP="00C96881">
      <w:pPr>
        <w:pStyle w:val="NormalWeb"/>
        <w:jc w:val="right"/>
        <w:rPr>
          <w:rFonts w:ascii="Arial" w:hAnsi="Arial" w:cs="Arial"/>
          <w:color w:val="000000"/>
          <w:sz w:val="20"/>
          <w:szCs w:val="20"/>
        </w:rPr>
      </w:pPr>
      <w:r>
        <w:rPr>
          <w:rFonts w:ascii="Arial" w:hAnsi="Arial" w:cs="Arial"/>
          <w:color w:val="000000"/>
          <w:sz w:val="20"/>
          <w:szCs w:val="20"/>
        </w:rPr>
        <w:t>October 11, 2022</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All Standalone Primary Dealers (SPDs)</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Dear Sir/ Madam,</w:t>
      </w:r>
    </w:p>
    <w:p w:rsidR="00C96881" w:rsidRDefault="00C96881" w:rsidP="00C96881">
      <w:pPr>
        <w:pStyle w:val="head"/>
        <w:jc w:val="both"/>
        <w:rPr>
          <w:rFonts w:ascii="Arial" w:hAnsi="Arial" w:cs="Arial"/>
          <w:b/>
          <w:bCs/>
          <w:color w:val="000000"/>
          <w:sz w:val="20"/>
          <w:szCs w:val="20"/>
        </w:rPr>
      </w:pPr>
      <w:r>
        <w:rPr>
          <w:rFonts w:ascii="Arial" w:hAnsi="Arial" w:cs="Arial"/>
          <w:b/>
          <w:bCs/>
          <w:color w:val="000000"/>
          <w:sz w:val="20"/>
          <w:szCs w:val="20"/>
        </w:rPr>
        <w:t>Diversification of activities by SPDs – Review of permissible non-core activities</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A reference is invited to </w:t>
      </w:r>
      <w:hyperlink r:id="rId114" w:tgtFrame="_blank" w:history="1">
        <w:r>
          <w:rPr>
            <w:rStyle w:val="Hyperlink"/>
            <w:rFonts w:ascii="Arial" w:hAnsi="Arial" w:cs="Arial"/>
            <w:sz w:val="20"/>
            <w:szCs w:val="20"/>
          </w:rPr>
          <w:t>circular DNBR (PD) CC.No.094/03.10.001/2018-19 dated July 27, 2018</w:t>
        </w:r>
      </w:hyperlink>
      <w:r>
        <w:rPr>
          <w:rFonts w:ascii="Arial" w:hAnsi="Arial" w:cs="Arial"/>
          <w:color w:val="000000"/>
          <w:sz w:val="20"/>
          <w:szCs w:val="20"/>
        </w:rPr>
        <w:t> in terms of which SPDs, as part of their non-core activities, are permitted to offer foreign exchange products, as allowed from time to time, to their Foreign Portfolio Investor (FPI) clients.</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2. As announced in the Statement on Developmental and Regulatory Policies (</w:t>
      </w:r>
      <w:hyperlink r:id="rId115" w:anchor="AN1" w:history="1">
        <w:r>
          <w:rPr>
            <w:rStyle w:val="Hyperlink"/>
            <w:rFonts w:ascii="Arial" w:hAnsi="Arial" w:cs="Arial"/>
            <w:sz w:val="20"/>
            <w:szCs w:val="20"/>
          </w:rPr>
          <w:t>Para 3 annexed</w:t>
        </w:r>
      </w:hyperlink>
      <w:r>
        <w:rPr>
          <w:rFonts w:ascii="Arial" w:hAnsi="Arial" w:cs="Arial"/>
          <w:color w:val="000000"/>
          <w:sz w:val="20"/>
          <w:szCs w:val="20"/>
        </w:rPr>
        <w:t>) dated August 05, 2022, it has been decided to allow SPDs to offer all foreign exchange market-making facilities to users, as currently permitted to Category-I Authorized Dealers, subject to adherence to the prudential regulations and other guidelines to be issued separately in this regard.</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3. Further, with effect from January 01, 2023 all financial transactions involving the Rupee undertaken globally by related entities of the SPD shall be reported to CCIL’s Trade Repository before 12:00 noon of the business day following the date of transaction.</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4. SPDs shall comply with other regulations contained in the aforementioned </w:t>
      </w:r>
      <w:hyperlink r:id="rId116" w:tgtFrame="_blank" w:history="1">
        <w:r>
          <w:rPr>
            <w:rStyle w:val="Hyperlink"/>
            <w:rFonts w:ascii="Arial" w:hAnsi="Arial" w:cs="Arial"/>
            <w:sz w:val="20"/>
            <w:szCs w:val="20"/>
          </w:rPr>
          <w:t>circular dated July 27, 2018</w:t>
        </w:r>
      </w:hyperlink>
      <w:r>
        <w:rPr>
          <w:rFonts w:ascii="Arial" w:hAnsi="Arial" w:cs="Arial"/>
          <w:color w:val="000000"/>
          <w:sz w:val="20"/>
          <w:szCs w:val="20"/>
        </w:rPr>
        <w:t> and prudential regulations issued by Reserve Bank from time to time. Further, all the instructions contained in the </w:t>
      </w:r>
      <w:hyperlink r:id="rId117" w:tgtFrame="_blank" w:history="1">
        <w:r>
          <w:rPr>
            <w:rStyle w:val="Hyperlink"/>
            <w:rFonts w:ascii="Arial" w:hAnsi="Arial" w:cs="Arial"/>
            <w:sz w:val="20"/>
            <w:szCs w:val="20"/>
          </w:rPr>
          <w:t>Master Direction – Reserve Bank of India (Market-makers in OTC Derivatives) Directions, 2021 (FMRD.FMD.07/02.03.247/2021-22) dated September 16, 2021</w:t>
        </w:r>
      </w:hyperlink>
      <w:r>
        <w:rPr>
          <w:rFonts w:ascii="Arial" w:hAnsi="Arial" w:cs="Arial"/>
          <w:color w:val="000000"/>
          <w:sz w:val="20"/>
          <w:szCs w:val="20"/>
        </w:rPr>
        <w:t> shall also apply, mutatis-mutandis, to SPDs.</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5. The </w:t>
      </w:r>
      <w:hyperlink r:id="rId118" w:tgtFrame="_blank" w:history="1">
        <w:r>
          <w:rPr>
            <w:rStyle w:val="Hyperlink"/>
            <w:rFonts w:ascii="Arial" w:hAnsi="Arial" w:cs="Arial"/>
            <w:sz w:val="20"/>
            <w:szCs w:val="20"/>
          </w:rPr>
          <w:t>Master Direction – Standalone Primary Dealers (Reserve Bank) Directions, 2016</w:t>
        </w:r>
      </w:hyperlink>
      <w:r>
        <w:rPr>
          <w:rFonts w:ascii="Arial" w:hAnsi="Arial" w:cs="Arial"/>
          <w:color w:val="000000"/>
          <w:sz w:val="20"/>
          <w:szCs w:val="20"/>
        </w:rPr>
        <w:t>, is being modified accordingly.</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Yours faithfully,</w:t>
      </w:r>
    </w:p>
    <w:p w:rsidR="00C96881" w:rsidRDefault="00C96881" w:rsidP="00C96881">
      <w:pPr>
        <w:pStyle w:val="NormalWeb"/>
        <w:rPr>
          <w:rFonts w:ascii="Arial" w:hAnsi="Arial" w:cs="Arial"/>
          <w:color w:val="000000"/>
          <w:sz w:val="20"/>
          <w:szCs w:val="20"/>
        </w:rPr>
      </w:pPr>
      <w:r>
        <w:rPr>
          <w:rFonts w:ascii="Arial" w:hAnsi="Arial" w:cs="Arial"/>
          <w:color w:val="000000"/>
          <w:sz w:val="20"/>
          <w:szCs w:val="20"/>
        </w:rPr>
        <w:t>(J.P. Sharma)</w:t>
      </w:r>
      <w:r>
        <w:rPr>
          <w:rFonts w:ascii="Arial" w:hAnsi="Arial" w:cs="Arial"/>
          <w:color w:val="000000"/>
          <w:sz w:val="20"/>
          <w:szCs w:val="20"/>
        </w:rPr>
        <w:br/>
        <w:t>Chief General Manager</w:t>
      </w:r>
    </w:p>
    <w:p w:rsidR="00C96881" w:rsidRDefault="00C96881" w:rsidP="00C96881">
      <w:pPr>
        <w:rPr>
          <w:rFonts w:ascii="Arial" w:hAnsi="Arial" w:cs="Arial"/>
          <w:b/>
          <w:bCs/>
          <w:color w:val="000000"/>
          <w:sz w:val="20"/>
          <w:szCs w:val="20"/>
        </w:rPr>
      </w:pPr>
    </w:p>
    <w:p w:rsidR="00C96881" w:rsidRDefault="00C96881" w:rsidP="00C96881">
      <w:r>
        <w:t>More details can be referred to in the below link.</w:t>
      </w:r>
    </w:p>
    <w:p w:rsidR="00C96881" w:rsidRDefault="00C96881" w:rsidP="00C96881">
      <w:pPr>
        <w:rPr>
          <w:rFonts w:ascii="Arial" w:hAnsi="Arial" w:cs="Arial"/>
          <w:bCs/>
          <w:color w:val="000000"/>
          <w:sz w:val="20"/>
          <w:szCs w:val="20"/>
        </w:rPr>
      </w:pPr>
      <w:r>
        <w:rPr>
          <w:rFonts w:ascii="Arial" w:hAnsi="Arial" w:cs="Arial"/>
          <w:bCs/>
          <w:color w:val="000000"/>
          <w:sz w:val="20"/>
          <w:szCs w:val="20"/>
        </w:rPr>
        <w:t xml:space="preserve">Reference Link: </w:t>
      </w:r>
      <w:hyperlink r:id="rId119" w:history="1">
        <w:r w:rsidRPr="009A1791">
          <w:rPr>
            <w:rStyle w:val="Hyperlink"/>
            <w:rFonts w:ascii="Arial" w:hAnsi="Arial" w:cs="Arial"/>
            <w:bCs/>
            <w:sz w:val="20"/>
            <w:szCs w:val="20"/>
          </w:rPr>
          <w:t>https://www.rbi.org.in/scripts/NotificationUser.aspx?Id=12397&amp;Mode=0</w:t>
        </w:r>
      </w:hyperlink>
    </w:p>
    <w:p w:rsidR="00C96881" w:rsidRDefault="00C96881" w:rsidP="00C96881">
      <w:pPr>
        <w:rPr>
          <w:rFonts w:ascii="Arial" w:hAnsi="Arial" w:cs="Arial"/>
          <w:b/>
          <w:bCs/>
          <w:color w:val="000000"/>
          <w:sz w:val="20"/>
          <w:szCs w:val="20"/>
        </w:rPr>
      </w:pPr>
    </w:p>
    <w:p w:rsidR="00C96881" w:rsidRDefault="00C96881" w:rsidP="00C96881">
      <w:pPr>
        <w:rPr>
          <w:rFonts w:ascii="Arial" w:hAnsi="Arial" w:cs="Arial"/>
          <w:b/>
          <w:bCs/>
          <w:color w:val="000000"/>
          <w:sz w:val="20"/>
          <w:szCs w:val="20"/>
        </w:rPr>
      </w:pPr>
    </w:p>
    <w:p w:rsidR="00C96881" w:rsidRDefault="00C96881" w:rsidP="00C96881">
      <w:pPr>
        <w:rPr>
          <w:rFonts w:ascii="Arial" w:hAnsi="Arial" w:cs="Arial"/>
          <w:b/>
          <w:bCs/>
          <w:color w:val="000000"/>
          <w:sz w:val="20"/>
          <w:szCs w:val="20"/>
        </w:rPr>
      </w:pPr>
    </w:p>
    <w:p w:rsidR="00C96881" w:rsidRDefault="00C96881" w:rsidP="00C96881">
      <w:pPr>
        <w:rPr>
          <w:rFonts w:ascii="Arial" w:hAnsi="Arial" w:cs="Arial"/>
          <w:b/>
          <w:bCs/>
          <w:color w:val="000000"/>
          <w:sz w:val="20"/>
          <w:szCs w:val="20"/>
        </w:rPr>
      </w:pPr>
    </w:p>
    <w:p w:rsidR="00C96881" w:rsidRDefault="00C96881" w:rsidP="00C96881">
      <w:pPr>
        <w:rPr>
          <w:rFonts w:ascii="Arial" w:hAnsi="Arial" w:cs="Arial"/>
          <w:b/>
          <w:bCs/>
          <w:color w:val="000000"/>
          <w:sz w:val="20"/>
          <w:szCs w:val="20"/>
        </w:rPr>
      </w:pPr>
    </w:p>
    <w:p w:rsidR="00C96881" w:rsidRDefault="00C96881" w:rsidP="00C96881">
      <w:pPr>
        <w:rPr>
          <w:rFonts w:ascii="Arial" w:hAnsi="Arial" w:cs="Arial"/>
          <w:b/>
          <w:bCs/>
          <w:color w:val="000000"/>
          <w:sz w:val="20"/>
          <w:szCs w:val="20"/>
        </w:rPr>
      </w:pPr>
    </w:p>
    <w:p w:rsidR="00C96881" w:rsidRDefault="00C96881" w:rsidP="0001090D">
      <w:pPr>
        <w:rPr>
          <w:rFonts w:ascii="Arial" w:hAnsi="Arial" w:cs="Arial"/>
          <w:bCs/>
          <w:color w:val="000000"/>
          <w:sz w:val="20"/>
          <w:szCs w:val="20"/>
        </w:rPr>
      </w:pPr>
    </w:p>
    <w:p w:rsidR="00C96881" w:rsidRDefault="00C96881" w:rsidP="00C96881">
      <w:pPr>
        <w:rPr>
          <w:rFonts w:ascii="Arial" w:hAnsi="Arial" w:cs="Arial"/>
          <w:b/>
          <w:bCs/>
          <w:color w:val="000000"/>
          <w:sz w:val="20"/>
          <w:szCs w:val="20"/>
        </w:rPr>
      </w:pPr>
      <w:r>
        <w:rPr>
          <w:rFonts w:ascii="Arial" w:hAnsi="Arial" w:cs="Arial"/>
          <w:b/>
          <w:bCs/>
          <w:color w:val="000000"/>
          <w:sz w:val="20"/>
          <w:szCs w:val="20"/>
        </w:rPr>
        <w:t>Diversification of activities by SPDs – Review of permissible non-core activities – Prudential regulations and other instructions</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RBI/2022-23/127</w:t>
      </w:r>
      <w:r>
        <w:rPr>
          <w:rFonts w:ascii="Arial" w:hAnsi="Arial" w:cs="Arial"/>
          <w:color w:val="000000"/>
          <w:sz w:val="20"/>
          <w:szCs w:val="20"/>
        </w:rPr>
        <w:br/>
        <w:t>DOR.FIN.REC.No.73/03.10.117/2022-23</w:t>
      </w:r>
    </w:p>
    <w:p w:rsidR="00C96881" w:rsidRDefault="00C96881" w:rsidP="00C96881">
      <w:pPr>
        <w:pStyle w:val="NormalWeb"/>
        <w:jc w:val="right"/>
        <w:rPr>
          <w:rFonts w:ascii="Arial" w:hAnsi="Arial" w:cs="Arial"/>
          <w:color w:val="000000"/>
          <w:sz w:val="20"/>
          <w:szCs w:val="20"/>
        </w:rPr>
      </w:pPr>
      <w:r>
        <w:rPr>
          <w:rFonts w:ascii="Arial" w:hAnsi="Arial" w:cs="Arial"/>
          <w:color w:val="000000"/>
          <w:sz w:val="20"/>
          <w:szCs w:val="20"/>
        </w:rPr>
        <w:t>October 11, 2022</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All Standalone Primary Dealers (SPDs)</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Dear Sir/ Madam,</w:t>
      </w:r>
    </w:p>
    <w:p w:rsidR="00C96881" w:rsidRDefault="00C96881" w:rsidP="00C96881">
      <w:pPr>
        <w:pStyle w:val="head"/>
        <w:jc w:val="both"/>
        <w:rPr>
          <w:rFonts w:ascii="Arial" w:hAnsi="Arial" w:cs="Arial"/>
          <w:b/>
          <w:bCs/>
          <w:color w:val="000000"/>
          <w:sz w:val="20"/>
          <w:szCs w:val="20"/>
        </w:rPr>
      </w:pPr>
      <w:r>
        <w:rPr>
          <w:rFonts w:ascii="Arial" w:hAnsi="Arial" w:cs="Arial"/>
          <w:b/>
          <w:bCs/>
          <w:color w:val="000000"/>
          <w:sz w:val="20"/>
          <w:szCs w:val="20"/>
        </w:rPr>
        <w:t>Diversification of activities by SPDs – Review of permissible non-core activities – Prudential regulations and other instructions</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120" w:tgtFrame="_blank" w:history="1">
        <w:r>
          <w:rPr>
            <w:rStyle w:val="Hyperlink"/>
            <w:rFonts w:ascii="Arial" w:hAnsi="Arial" w:cs="Arial"/>
            <w:sz w:val="20"/>
            <w:szCs w:val="20"/>
          </w:rPr>
          <w:t>circular DOR.FIN.REC.No.72/03.10.117/2022-23 dated October 11, 2022</w:t>
        </w:r>
      </w:hyperlink>
      <w:r>
        <w:rPr>
          <w:rFonts w:ascii="Arial" w:hAnsi="Arial" w:cs="Arial"/>
          <w:color w:val="000000"/>
          <w:sz w:val="20"/>
          <w:szCs w:val="20"/>
        </w:rPr>
        <w:t> allowing SPDs to undertake foreign exchange activities as part of their non-core activities. In this connection, SPDs shall adhere to the prudential regulations and other instructions contained in this circular and other associated guidelines applicable to SPDs.</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2. The foreign exchange activities permitted to SPDs shall continue to be part of their non-core activity. SPDs desirous of undertaking this activity may approach the Reserve Bank of India, Foreign Exchange Department, Central Office, Mumbai for necessary authorization. It may be noted that in case of failure of SPDs to meet the obligations of Primary Dealership (PD) business in the Government securities market or any other violations on regulations on conducting the PD business, the Reserve Bank reserves the right to impose restrictions or withdraw permission to undertake the foreign exchange business.</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3. The SPDs shall adhere to the following prudential regulations:</w:t>
      </w:r>
    </w:p>
    <w:p w:rsidR="00C96881" w:rsidRDefault="00C96881" w:rsidP="00DA1141">
      <w:pPr>
        <w:pStyle w:val="NormalWeb"/>
        <w:numPr>
          <w:ilvl w:val="0"/>
          <w:numId w:val="13"/>
        </w:numPr>
        <w:ind w:left="0"/>
        <w:jc w:val="both"/>
        <w:rPr>
          <w:rFonts w:ascii="Arial" w:hAnsi="Arial" w:cs="Arial"/>
          <w:color w:val="000000"/>
          <w:sz w:val="20"/>
          <w:szCs w:val="20"/>
        </w:rPr>
      </w:pPr>
      <w:r>
        <w:rPr>
          <w:rFonts w:ascii="Arial" w:hAnsi="Arial" w:cs="Arial"/>
          <w:color w:val="000000"/>
          <w:sz w:val="20"/>
          <w:szCs w:val="20"/>
        </w:rPr>
        <w:t>As prescribed in the existing capital adequacy guidelines for SPDs, the capital charge for market risk in foreign exchange exposures shall be higher of the charges worked out by the standardised approach and the internal risk management framework-based Value at Risk (</w:t>
      </w:r>
      <w:proofErr w:type="spellStart"/>
      <w:r>
        <w:rPr>
          <w:rFonts w:ascii="Arial" w:hAnsi="Arial" w:cs="Arial"/>
          <w:color w:val="000000"/>
          <w:sz w:val="20"/>
          <w:szCs w:val="20"/>
        </w:rPr>
        <w:t>VaR</w:t>
      </w:r>
      <w:proofErr w:type="spellEnd"/>
      <w:r>
        <w:rPr>
          <w:rFonts w:ascii="Arial" w:hAnsi="Arial" w:cs="Arial"/>
          <w:color w:val="000000"/>
          <w:sz w:val="20"/>
          <w:szCs w:val="20"/>
        </w:rPr>
        <w:t>) model. Further, under the standardised approach, SPDs shall maintain a market risk capital charge of 15% for net open positions (limits or actual, whichever is higher) arising out of forex business with a risk weight of 100%. The net open position for foreign exchange exposures shall be calculated as per the methodology prescribed in para 8.5 of </w:t>
      </w:r>
      <w:hyperlink r:id="rId121" w:tgtFrame="_blank" w:history="1">
        <w:r>
          <w:rPr>
            <w:rStyle w:val="Hyperlink"/>
            <w:rFonts w:ascii="Arial" w:hAnsi="Arial" w:cs="Arial"/>
            <w:sz w:val="20"/>
            <w:szCs w:val="20"/>
          </w:rPr>
          <w:t>Master Circular – Basel III Capital Regulations dated April 01, 2022</w:t>
        </w:r>
      </w:hyperlink>
      <w:r>
        <w:rPr>
          <w:rFonts w:ascii="Arial" w:hAnsi="Arial" w:cs="Arial"/>
          <w:color w:val="000000"/>
          <w:sz w:val="20"/>
          <w:szCs w:val="20"/>
        </w:rPr>
        <w:t> (as amended from time to time) to the extent applicable to SPDs. Capital charge for market risk shall be over &amp; above the capital charge for credit risk of 15% as per directions prescribed in </w:t>
      </w:r>
      <w:hyperlink r:id="rId122" w:tgtFrame="_blank" w:history="1">
        <w:r>
          <w:rPr>
            <w:rStyle w:val="Hyperlink"/>
            <w:rFonts w:ascii="Arial" w:hAnsi="Arial" w:cs="Arial"/>
            <w:sz w:val="20"/>
            <w:szCs w:val="20"/>
          </w:rPr>
          <w:t>Master Directions – Standalone Primary Dealers (Reserve Bank) Directions, 2016 dated August 23, 2016</w:t>
        </w:r>
      </w:hyperlink>
      <w:r>
        <w:rPr>
          <w:rFonts w:ascii="Arial" w:hAnsi="Arial" w:cs="Arial"/>
          <w:color w:val="000000"/>
          <w:sz w:val="20"/>
          <w:szCs w:val="20"/>
        </w:rPr>
        <w:t> (as amended from time to time).</w:t>
      </w:r>
    </w:p>
    <w:p w:rsidR="00C96881" w:rsidRDefault="00C96881" w:rsidP="00DA1141">
      <w:pPr>
        <w:pStyle w:val="NormalWeb"/>
        <w:numPr>
          <w:ilvl w:val="0"/>
          <w:numId w:val="13"/>
        </w:numPr>
        <w:ind w:left="0"/>
        <w:jc w:val="both"/>
        <w:rPr>
          <w:rFonts w:ascii="Arial" w:hAnsi="Arial" w:cs="Arial"/>
          <w:color w:val="000000"/>
          <w:sz w:val="20"/>
          <w:szCs w:val="20"/>
        </w:rPr>
      </w:pPr>
      <w:r>
        <w:rPr>
          <w:rFonts w:ascii="Arial" w:hAnsi="Arial" w:cs="Arial"/>
          <w:color w:val="000000"/>
          <w:sz w:val="20"/>
          <w:szCs w:val="20"/>
        </w:rPr>
        <w:t>In addition to the foreign exchange exposure limits prescribed under </w:t>
      </w:r>
      <w:hyperlink r:id="rId123" w:tgtFrame="_blank" w:history="1">
        <w:r>
          <w:rPr>
            <w:rStyle w:val="Hyperlink"/>
            <w:rFonts w:ascii="Arial" w:hAnsi="Arial" w:cs="Arial"/>
            <w:sz w:val="20"/>
            <w:szCs w:val="20"/>
          </w:rPr>
          <w:t>Master Direction – Risk Management &amp; Inter-Bank Dealings dated July 05, 2016</w:t>
        </w:r>
      </w:hyperlink>
      <w:r>
        <w:rPr>
          <w:rFonts w:ascii="Arial" w:hAnsi="Arial" w:cs="Arial"/>
          <w:color w:val="000000"/>
          <w:sz w:val="20"/>
          <w:szCs w:val="20"/>
        </w:rPr>
        <w:t> (as amended from time to time), the capital charge for market risk (calculated as per provisions of </w:t>
      </w:r>
      <w:hyperlink r:id="rId124" w:tgtFrame="_blank" w:history="1">
        <w:r>
          <w:rPr>
            <w:rStyle w:val="Hyperlink"/>
            <w:rFonts w:ascii="Arial" w:hAnsi="Arial" w:cs="Arial"/>
            <w:sz w:val="20"/>
            <w:szCs w:val="20"/>
          </w:rPr>
          <w:t>Master Direction – Standalone Primary Dealers (Reserve Bank) Directions, 2016</w:t>
        </w:r>
      </w:hyperlink>
      <w:r>
        <w:rPr>
          <w:rFonts w:ascii="Arial" w:hAnsi="Arial" w:cs="Arial"/>
          <w:color w:val="000000"/>
          <w:sz w:val="20"/>
          <w:szCs w:val="20"/>
        </w:rPr>
        <w:t>) for all the permissible non-core activities, including foreign exchange activities, shall not be more than 20% of the Net Owned Fund of the SPD as per last audited balance sheet.</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Yours faithfully,</w:t>
      </w:r>
    </w:p>
    <w:p w:rsidR="00C96881" w:rsidRDefault="00C96881" w:rsidP="00C96881">
      <w:pPr>
        <w:pStyle w:val="NormalWeb"/>
        <w:rPr>
          <w:rFonts w:ascii="Arial" w:hAnsi="Arial" w:cs="Arial"/>
          <w:color w:val="000000"/>
          <w:sz w:val="20"/>
          <w:szCs w:val="20"/>
        </w:rPr>
      </w:pPr>
      <w:r>
        <w:rPr>
          <w:rFonts w:ascii="Arial" w:hAnsi="Arial" w:cs="Arial"/>
          <w:color w:val="000000"/>
          <w:sz w:val="20"/>
          <w:szCs w:val="20"/>
        </w:rPr>
        <w:t>(J.P. Sharma)</w:t>
      </w:r>
      <w:r>
        <w:rPr>
          <w:rFonts w:ascii="Arial" w:hAnsi="Arial" w:cs="Arial"/>
          <w:color w:val="000000"/>
          <w:sz w:val="20"/>
          <w:szCs w:val="20"/>
        </w:rPr>
        <w:br/>
        <w:t>Chief General Manager</w:t>
      </w:r>
    </w:p>
    <w:p w:rsidR="00C96881" w:rsidRDefault="00C96881" w:rsidP="00C96881">
      <w:pPr>
        <w:rPr>
          <w:rFonts w:ascii="Arial" w:hAnsi="Arial" w:cs="Arial"/>
          <w:sz w:val="20"/>
          <w:szCs w:val="20"/>
        </w:rPr>
      </w:pPr>
    </w:p>
    <w:p w:rsidR="00C96881" w:rsidRDefault="00C96881" w:rsidP="00C96881">
      <w:r>
        <w:lastRenderedPageBreak/>
        <w:t>More details can be referred to in the below link.</w:t>
      </w:r>
    </w:p>
    <w:p w:rsidR="00C96881" w:rsidRDefault="00C96881" w:rsidP="00C96881">
      <w:pPr>
        <w:rPr>
          <w:rStyle w:val="Hyperlink"/>
          <w:rFonts w:ascii="Arial" w:hAnsi="Arial" w:cs="Arial"/>
          <w:bCs/>
          <w:sz w:val="20"/>
          <w:szCs w:val="20"/>
        </w:rPr>
      </w:pPr>
      <w:r>
        <w:rPr>
          <w:rFonts w:ascii="Arial" w:hAnsi="Arial" w:cs="Arial"/>
          <w:bCs/>
          <w:color w:val="000000"/>
          <w:sz w:val="20"/>
          <w:szCs w:val="20"/>
        </w:rPr>
        <w:t xml:space="preserve">Reference Link: </w:t>
      </w:r>
      <w:hyperlink r:id="rId125" w:history="1">
        <w:r w:rsidRPr="009A1791">
          <w:rPr>
            <w:rStyle w:val="Hyperlink"/>
            <w:rFonts w:ascii="Arial" w:hAnsi="Arial" w:cs="Arial"/>
            <w:bCs/>
            <w:sz w:val="20"/>
            <w:szCs w:val="20"/>
          </w:rPr>
          <w:t>https://m.rbi.org.in/scripts/FS_Notification.aspx?Id=12398&amp;fn=6&amp;Mode=0</w:t>
        </w:r>
      </w:hyperlink>
    </w:p>
    <w:p w:rsidR="00C96881" w:rsidRDefault="00C96881" w:rsidP="00C96881">
      <w:pPr>
        <w:rPr>
          <w:rFonts w:ascii="Arial" w:hAnsi="Arial" w:cs="Arial"/>
          <w:b/>
          <w:bCs/>
          <w:color w:val="000000"/>
          <w:sz w:val="20"/>
          <w:szCs w:val="20"/>
        </w:rPr>
      </w:pPr>
      <w:r>
        <w:rPr>
          <w:rFonts w:ascii="Arial" w:hAnsi="Arial" w:cs="Arial"/>
          <w:b/>
          <w:bCs/>
          <w:color w:val="000000"/>
          <w:sz w:val="20"/>
          <w:szCs w:val="20"/>
        </w:rPr>
        <w:t>Review of Regulatory Framework for Asset Reconstruction Companies (ARCs)</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RBI/2022-23/128</w:t>
      </w:r>
      <w:r>
        <w:rPr>
          <w:rFonts w:ascii="Arial" w:hAnsi="Arial" w:cs="Arial"/>
          <w:color w:val="000000"/>
          <w:sz w:val="20"/>
          <w:szCs w:val="20"/>
        </w:rPr>
        <w:br/>
        <w:t>DoR.SIG.FIN.REC.75/26.03.001/2022-23</w:t>
      </w:r>
    </w:p>
    <w:p w:rsidR="00C96881" w:rsidRDefault="00C96881" w:rsidP="00C96881">
      <w:pPr>
        <w:pStyle w:val="NormalWeb"/>
        <w:jc w:val="right"/>
        <w:rPr>
          <w:rFonts w:ascii="Arial" w:hAnsi="Arial" w:cs="Arial"/>
          <w:color w:val="000000"/>
          <w:sz w:val="20"/>
          <w:szCs w:val="20"/>
        </w:rPr>
      </w:pPr>
      <w:r>
        <w:rPr>
          <w:rFonts w:ascii="Arial" w:hAnsi="Arial" w:cs="Arial"/>
          <w:color w:val="000000"/>
          <w:sz w:val="20"/>
          <w:szCs w:val="20"/>
        </w:rPr>
        <w:t>October 11, 2022</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All Asset Reconstruction Companies</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Dear Sir/ Madam,</w:t>
      </w:r>
    </w:p>
    <w:p w:rsidR="00C96881" w:rsidRDefault="00C96881" w:rsidP="00C96881">
      <w:pPr>
        <w:pStyle w:val="head"/>
        <w:jc w:val="both"/>
        <w:rPr>
          <w:rFonts w:ascii="Arial" w:hAnsi="Arial" w:cs="Arial"/>
          <w:b/>
          <w:bCs/>
          <w:color w:val="000000"/>
          <w:sz w:val="20"/>
          <w:szCs w:val="20"/>
        </w:rPr>
      </w:pPr>
      <w:r>
        <w:rPr>
          <w:rFonts w:ascii="Arial" w:hAnsi="Arial" w:cs="Arial"/>
          <w:b/>
          <w:bCs/>
          <w:color w:val="000000"/>
          <w:sz w:val="20"/>
          <w:szCs w:val="20"/>
        </w:rPr>
        <w:t>Review of Regulatory Framework for Asset Reconstruction Companies (ARCs)</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ARCs play a vital role in the management of distressed financial assets of banks and financial institutions. Considering their critical role, a need was felt to review their functioning and operating framework. Accordingly, as part of the </w:t>
      </w:r>
      <w:hyperlink r:id="rId126" w:tgtFrame="_blank" w:history="1">
        <w:r>
          <w:rPr>
            <w:rStyle w:val="Hyperlink"/>
            <w:rFonts w:ascii="Arial" w:hAnsi="Arial" w:cs="Arial"/>
            <w:sz w:val="20"/>
            <w:szCs w:val="20"/>
          </w:rPr>
          <w:t>Statement on Developmental and Regulatory Policies</w:t>
        </w:r>
      </w:hyperlink>
      <w:r>
        <w:rPr>
          <w:rFonts w:ascii="Arial" w:hAnsi="Arial" w:cs="Arial"/>
          <w:color w:val="000000"/>
          <w:sz w:val="20"/>
          <w:szCs w:val="20"/>
        </w:rPr>
        <w:t> released along with the </w:t>
      </w:r>
      <w:hyperlink r:id="rId127" w:tgtFrame="_blank" w:history="1">
        <w:r>
          <w:rPr>
            <w:rStyle w:val="Hyperlink"/>
            <w:rFonts w:ascii="Arial" w:hAnsi="Arial" w:cs="Arial"/>
            <w:sz w:val="20"/>
            <w:szCs w:val="20"/>
          </w:rPr>
          <w:t>Monetary Policy Statement on April 7, 2021</w:t>
        </w:r>
      </w:hyperlink>
      <w:r>
        <w:rPr>
          <w:rFonts w:ascii="Arial" w:hAnsi="Arial" w:cs="Arial"/>
          <w:color w:val="000000"/>
          <w:sz w:val="20"/>
          <w:szCs w:val="20"/>
        </w:rPr>
        <w:t>, the Reserve Bank of India had set up a Committee to undertake a comprehensive review of the working of ARCs and recommend suitable measures for enabling them to function in a more transparent and efficient manner.</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2. Based on the Committee’s recommendations and feedback from the stakeholders, the extant regulatory framework for ARCs has been amended as detailed in the </w:t>
      </w:r>
      <w:hyperlink r:id="rId128" w:anchor="AN1" w:history="1">
        <w:r>
          <w:rPr>
            <w:rStyle w:val="Hyperlink"/>
            <w:rFonts w:ascii="Arial" w:hAnsi="Arial" w:cs="Arial"/>
            <w:sz w:val="20"/>
            <w:szCs w:val="20"/>
          </w:rPr>
          <w:t>Annex</w:t>
        </w:r>
      </w:hyperlink>
      <w:r>
        <w:rPr>
          <w:rFonts w:ascii="Arial" w:hAnsi="Arial" w:cs="Arial"/>
          <w:color w:val="000000"/>
          <w:sz w:val="20"/>
          <w:szCs w:val="20"/>
        </w:rPr>
        <w:t>.</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3. These guidelines shall be effective immediately or as indicated otherwise in the </w:t>
      </w:r>
      <w:hyperlink r:id="rId129" w:anchor="AN1" w:history="1">
        <w:r>
          <w:rPr>
            <w:rStyle w:val="Hyperlink"/>
            <w:rFonts w:ascii="Arial" w:hAnsi="Arial" w:cs="Arial"/>
            <w:sz w:val="20"/>
            <w:szCs w:val="20"/>
          </w:rPr>
          <w:t>Annex</w:t>
        </w:r>
      </w:hyperlink>
      <w:r>
        <w:rPr>
          <w:rFonts w:ascii="Arial" w:hAnsi="Arial" w:cs="Arial"/>
          <w:color w:val="000000"/>
          <w:sz w:val="20"/>
          <w:szCs w:val="20"/>
        </w:rPr>
        <w:t>.</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Yours faithfully,</w:t>
      </w:r>
    </w:p>
    <w:p w:rsidR="00C96881" w:rsidRDefault="00C96881" w:rsidP="00C96881">
      <w:pPr>
        <w:pStyle w:val="NormalWeb"/>
        <w:rPr>
          <w:rFonts w:ascii="Arial" w:hAnsi="Arial" w:cs="Arial"/>
          <w:color w:val="000000"/>
          <w:sz w:val="20"/>
          <w:szCs w:val="20"/>
        </w:rPr>
      </w:pPr>
      <w:r>
        <w:rPr>
          <w:rFonts w:ascii="Arial" w:hAnsi="Arial" w:cs="Arial"/>
          <w:color w:val="000000"/>
          <w:sz w:val="20"/>
          <w:szCs w:val="20"/>
        </w:rPr>
        <w:t>(J.P. Sharma)</w:t>
      </w:r>
      <w:r>
        <w:rPr>
          <w:rFonts w:ascii="Arial" w:hAnsi="Arial" w:cs="Arial"/>
          <w:color w:val="000000"/>
          <w:sz w:val="20"/>
          <w:szCs w:val="20"/>
        </w:rPr>
        <w:br/>
        <w:t>Chief General Manager</w:t>
      </w:r>
    </w:p>
    <w:p w:rsidR="00C96881" w:rsidRDefault="00C96881" w:rsidP="00C96881">
      <w:pPr>
        <w:rPr>
          <w:rFonts w:ascii="Arial" w:hAnsi="Arial" w:cs="Arial"/>
          <w:sz w:val="20"/>
          <w:szCs w:val="20"/>
        </w:rPr>
      </w:pPr>
    </w:p>
    <w:p w:rsidR="00C96881" w:rsidRDefault="00C96881" w:rsidP="00C96881">
      <w:pPr>
        <w:rPr>
          <w:rFonts w:ascii="Arial" w:hAnsi="Arial" w:cs="Arial"/>
          <w:sz w:val="20"/>
          <w:szCs w:val="20"/>
        </w:rPr>
      </w:pPr>
    </w:p>
    <w:p w:rsidR="00C96881" w:rsidRDefault="00C96881" w:rsidP="00C96881">
      <w:r>
        <w:t>More details can be referred to in the below link.</w:t>
      </w:r>
    </w:p>
    <w:p w:rsidR="00C96881" w:rsidRDefault="00C96881" w:rsidP="00C96881">
      <w:pPr>
        <w:rPr>
          <w:rFonts w:ascii="Arial" w:hAnsi="Arial" w:cs="Arial"/>
          <w:bCs/>
          <w:color w:val="000000"/>
          <w:sz w:val="20"/>
          <w:szCs w:val="20"/>
        </w:rPr>
      </w:pPr>
      <w:r>
        <w:rPr>
          <w:rFonts w:ascii="Arial" w:hAnsi="Arial" w:cs="Arial"/>
          <w:bCs/>
          <w:color w:val="000000"/>
          <w:sz w:val="20"/>
          <w:szCs w:val="20"/>
        </w:rPr>
        <w:t xml:space="preserve">Reference Link: </w:t>
      </w:r>
      <w:hyperlink r:id="rId130" w:history="1">
        <w:r w:rsidRPr="0062290B">
          <w:rPr>
            <w:rStyle w:val="Hyperlink"/>
            <w:rFonts w:ascii="Arial" w:hAnsi="Arial" w:cs="Arial"/>
            <w:bCs/>
            <w:sz w:val="20"/>
            <w:szCs w:val="20"/>
          </w:rPr>
          <w:t>https://m.rbi.org.in/Scripts/BS_CircularIndexDisplay.aspx?Id=12399</w:t>
        </w:r>
      </w:hyperlink>
    </w:p>
    <w:p w:rsidR="00C96881" w:rsidRDefault="00C96881" w:rsidP="00C96881">
      <w:pPr>
        <w:rPr>
          <w:rFonts w:ascii="Arial" w:hAnsi="Arial" w:cs="Arial"/>
          <w:bCs/>
          <w:color w:val="000000"/>
          <w:sz w:val="20"/>
          <w:szCs w:val="20"/>
        </w:rPr>
      </w:pPr>
    </w:p>
    <w:p w:rsidR="00C96881" w:rsidRDefault="00C96881" w:rsidP="00C96881">
      <w:pPr>
        <w:rPr>
          <w:rFonts w:ascii="Arial" w:hAnsi="Arial" w:cs="Arial"/>
          <w:bCs/>
          <w:color w:val="000000"/>
          <w:sz w:val="20"/>
          <w:szCs w:val="20"/>
        </w:rPr>
      </w:pPr>
    </w:p>
    <w:p w:rsidR="00C96881" w:rsidRDefault="00C96881" w:rsidP="00C96881">
      <w:pPr>
        <w:rPr>
          <w:rFonts w:ascii="Arial" w:hAnsi="Arial" w:cs="Arial"/>
          <w:bCs/>
          <w:color w:val="000000"/>
          <w:sz w:val="20"/>
          <w:szCs w:val="20"/>
        </w:rPr>
      </w:pPr>
    </w:p>
    <w:p w:rsidR="00C96881" w:rsidRDefault="00C96881" w:rsidP="00C96881">
      <w:pPr>
        <w:rPr>
          <w:rFonts w:ascii="Arial" w:hAnsi="Arial" w:cs="Arial"/>
          <w:bCs/>
          <w:color w:val="000000"/>
          <w:sz w:val="20"/>
          <w:szCs w:val="20"/>
        </w:rPr>
      </w:pPr>
    </w:p>
    <w:p w:rsidR="00C96881" w:rsidRDefault="00C96881" w:rsidP="00C96881">
      <w:pPr>
        <w:rPr>
          <w:rFonts w:ascii="Arial" w:hAnsi="Arial" w:cs="Arial"/>
          <w:bCs/>
          <w:color w:val="000000"/>
          <w:sz w:val="20"/>
          <w:szCs w:val="20"/>
        </w:rPr>
      </w:pPr>
    </w:p>
    <w:p w:rsidR="00C96881" w:rsidRDefault="00C96881" w:rsidP="00C96881">
      <w:pPr>
        <w:rPr>
          <w:rFonts w:ascii="Arial" w:hAnsi="Arial" w:cs="Arial"/>
          <w:bCs/>
          <w:color w:val="000000"/>
          <w:sz w:val="20"/>
          <w:szCs w:val="20"/>
        </w:rPr>
      </w:pPr>
    </w:p>
    <w:p w:rsidR="00C96881" w:rsidRDefault="00C96881" w:rsidP="00C96881">
      <w:pPr>
        <w:rPr>
          <w:rFonts w:ascii="Arial" w:hAnsi="Arial" w:cs="Arial"/>
          <w:bCs/>
          <w:color w:val="000000"/>
          <w:sz w:val="20"/>
          <w:szCs w:val="20"/>
        </w:rPr>
      </w:pPr>
    </w:p>
    <w:p w:rsidR="00C96881" w:rsidRDefault="00C96881" w:rsidP="00C96881">
      <w:pPr>
        <w:rPr>
          <w:rFonts w:ascii="Arial" w:hAnsi="Arial" w:cs="Arial"/>
          <w:bCs/>
          <w:color w:val="000000"/>
          <w:sz w:val="20"/>
          <w:szCs w:val="20"/>
        </w:rPr>
      </w:pPr>
    </w:p>
    <w:p w:rsidR="00C96881" w:rsidRDefault="00C96881" w:rsidP="00C96881">
      <w:pPr>
        <w:rPr>
          <w:rFonts w:ascii="Arial" w:hAnsi="Arial" w:cs="Arial"/>
          <w:bCs/>
          <w:color w:val="000000"/>
          <w:sz w:val="20"/>
          <w:szCs w:val="20"/>
        </w:rPr>
      </w:pPr>
    </w:p>
    <w:p w:rsidR="00C96881" w:rsidRDefault="00C96881" w:rsidP="00C96881">
      <w:pPr>
        <w:rPr>
          <w:rFonts w:ascii="Arial" w:hAnsi="Arial" w:cs="Arial"/>
          <w:bCs/>
          <w:color w:val="000000"/>
          <w:sz w:val="20"/>
          <w:szCs w:val="20"/>
        </w:rPr>
      </w:pPr>
    </w:p>
    <w:p w:rsidR="00C96881" w:rsidRDefault="00C96881" w:rsidP="00C96881">
      <w:pPr>
        <w:rPr>
          <w:rFonts w:ascii="Arial" w:hAnsi="Arial" w:cs="Arial"/>
          <w:bCs/>
          <w:color w:val="000000"/>
          <w:sz w:val="20"/>
          <w:szCs w:val="20"/>
        </w:rPr>
      </w:pPr>
    </w:p>
    <w:p w:rsidR="00C96881" w:rsidRDefault="00C96881" w:rsidP="00C96881">
      <w:pPr>
        <w:rPr>
          <w:rFonts w:ascii="Arial" w:hAnsi="Arial" w:cs="Arial"/>
          <w:bCs/>
          <w:color w:val="000000"/>
          <w:sz w:val="20"/>
          <w:szCs w:val="20"/>
        </w:rPr>
      </w:pPr>
    </w:p>
    <w:p w:rsidR="00C96881" w:rsidRDefault="00C96881" w:rsidP="00C96881">
      <w:pPr>
        <w:spacing w:after="0"/>
        <w:rPr>
          <w:rFonts w:ascii="Arial" w:hAnsi="Arial" w:cs="Arial"/>
          <w:b/>
          <w:bCs/>
          <w:color w:val="000000"/>
          <w:sz w:val="20"/>
          <w:szCs w:val="20"/>
        </w:rPr>
      </w:pPr>
      <w:r>
        <w:rPr>
          <w:rFonts w:ascii="Arial" w:hAnsi="Arial" w:cs="Arial"/>
          <w:b/>
          <w:bCs/>
          <w:color w:val="000000"/>
          <w:sz w:val="20"/>
          <w:szCs w:val="20"/>
        </w:rPr>
        <w:t>Multiple NBFCs in a Group: Classification in Middle Layer</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RBI/2022-23/129</w:t>
      </w:r>
      <w:r>
        <w:rPr>
          <w:rFonts w:ascii="Arial" w:hAnsi="Arial" w:cs="Arial"/>
          <w:color w:val="000000"/>
          <w:sz w:val="20"/>
          <w:szCs w:val="20"/>
        </w:rPr>
        <w:br/>
        <w:t>DOR.CRE.REC.No.78/03.10.001/2022-23</w:t>
      </w:r>
    </w:p>
    <w:p w:rsidR="00C96881" w:rsidRDefault="00C96881" w:rsidP="00C96881">
      <w:pPr>
        <w:pStyle w:val="NormalWeb"/>
        <w:jc w:val="right"/>
        <w:rPr>
          <w:rFonts w:ascii="Arial" w:hAnsi="Arial" w:cs="Arial"/>
          <w:color w:val="000000"/>
          <w:sz w:val="20"/>
          <w:szCs w:val="20"/>
        </w:rPr>
      </w:pPr>
      <w:r>
        <w:rPr>
          <w:rFonts w:ascii="Arial" w:hAnsi="Arial" w:cs="Arial"/>
          <w:color w:val="000000"/>
          <w:sz w:val="20"/>
          <w:szCs w:val="20"/>
        </w:rPr>
        <w:t>October 11, 2022</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All Non-Banking Financial Companies</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Madam / Dear Sir,</w:t>
      </w:r>
    </w:p>
    <w:p w:rsidR="00C96881" w:rsidRDefault="00C96881" w:rsidP="00C96881">
      <w:pPr>
        <w:pStyle w:val="head"/>
        <w:jc w:val="both"/>
        <w:rPr>
          <w:rFonts w:ascii="Arial" w:hAnsi="Arial" w:cs="Arial"/>
          <w:b/>
          <w:bCs/>
          <w:color w:val="000000"/>
          <w:sz w:val="20"/>
          <w:szCs w:val="20"/>
        </w:rPr>
      </w:pPr>
      <w:r>
        <w:rPr>
          <w:rFonts w:ascii="Arial" w:hAnsi="Arial" w:cs="Arial"/>
          <w:b/>
          <w:bCs/>
          <w:color w:val="000000"/>
          <w:sz w:val="20"/>
          <w:szCs w:val="20"/>
          <w:u w:val="single"/>
        </w:rPr>
        <w:t>Multiple NBFCs in a Group: Classification in Middle Layer</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Please refer to para 1 of the Annex to the </w:t>
      </w:r>
      <w:hyperlink r:id="rId131" w:tgtFrame="_blank" w:history="1">
        <w:r>
          <w:rPr>
            <w:rStyle w:val="Hyperlink"/>
            <w:rFonts w:ascii="Arial" w:hAnsi="Arial" w:cs="Arial"/>
            <w:sz w:val="20"/>
            <w:szCs w:val="20"/>
          </w:rPr>
          <w:t>Circular on “Scale Based Regulation (SBR): A Revised Regulatory Framework for NBFCs” issued on October 22, 2021</w:t>
        </w:r>
      </w:hyperlink>
      <w:r>
        <w:rPr>
          <w:rFonts w:ascii="Arial" w:hAnsi="Arial" w:cs="Arial"/>
          <w:color w:val="000000"/>
          <w:sz w:val="20"/>
          <w:szCs w:val="20"/>
        </w:rPr>
        <w:t> delineating the four layered regulatory structure for NBFCs under Scale Based Regulatory Framework.</w:t>
      </w:r>
    </w:p>
    <w:p w:rsidR="00C96881" w:rsidRDefault="00C96881" w:rsidP="00C96881">
      <w:pPr>
        <w:pStyle w:val="NormalWeb"/>
        <w:jc w:val="both"/>
        <w:rPr>
          <w:rFonts w:ascii="Arial" w:hAnsi="Arial" w:cs="Arial"/>
          <w:color w:val="000000"/>
          <w:sz w:val="20"/>
          <w:szCs w:val="20"/>
        </w:rPr>
      </w:pPr>
      <w:r>
        <w:rPr>
          <w:rStyle w:val="head1"/>
          <w:rFonts w:ascii="Arial" w:hAnsi="Arial" w:cs="Arial"/>
          <w:b/>
          <w:bCs/>
          <w:color w:val="000000"/>
          <w:sz w:val="20"/>
          <w:szCs w:val="20"/>
        </w:rPr>
        <w:t>2.</w:t>
      </w:r>
      <w:r>
        <w:rPr>
          <w:rFonts w:ascii="Arial" w:hAnsi="Arial" w:cs="Arial"/>
          <w:color w:val="000000"/>
          <w:sz w:val="20"/>
          <w:szCs w:val="20"/>
        </w:rPr>
        <w:t> As per para 16 of the </w:t>
      </w:r>
      <w:hyperlink r:id="rId132" w:tgtFrame="_blank" w:history="1">
        <w:r>
          <w:rPr>
            <w:rStyle w:val="Hyperlink"/>
            <w:rFonts w:ascii="Arial" w:hAnsi="Arial" w:cs="Arial"/>
            <w:sz w:val="20"/>
            <w:szCs w:val="20"/>
          </w:rPr>
          <w:t>Master Direction – Non-Banking Financial Company-Systemically Important Non-Deposit taking Company and Deposit taking Company (Reserve Bank) Directions 2016</w:t>
        </w:r>
      </w:hyperlink>
      <w:r>
        <w:rPr>
          <w:rFonts w:ascii="Arial" w:hAnsi="Arial" w:cs="Arial"/>
          <w:color w:val="000000"/>
          <w:sz w:val="20"/>
          <w:szCs w:val="20"/>
        </w:rPr>
        <w:t>, applicable NBFCs that are part of a common Group or are floated by a common set of promoters shall not be viewed on a standalone basis. In line with the existing policy on consolidation of assets of the NBFCs in a Group, the total assets of </w:t>
      </w:r>
      <w:r>
        <w:rPr>
          <w:rStyle w:val="head1"/>
          <w:rFonts w:ascii="Arial" w:hAnsi="Arial" w:cs="Arial"/>
          <w:b/>
          <w:bCs/>
          <w:color w:val="000000"/>
          <w:sz w:val="20"/>
          <w:szCs w:val="20"/>
        </w:rPr>
        <w:t>all the NBFCs</w:t>
      </w:r>
      <w:hyperlink r:id="rId133" w:anchor="F1" w:history="1">
        <w:r>
          <w:rPr>
            <w:rStyle w:val="Hyperlink"/>
            <w:rFonts w:ascii="Arial" w:hAnsi="Arial" w:cs="Arial"/>
            <w:sz w:val="15"/>
            <w:szCs w:val="15"/>
            <w:vertAlign w:val="superscript"/>
          </w:rPr>
          <w:t>1</w:t>
        </w:r>
      </w:hyperlink>
      <w:r>
        <w:rPr>
          <w:rFonts w:ascii="Arial" w:hAnsi="Arial" w:cs="Arial"/>
          <w:color w:val="000000"/>
          <w:sz w:val="20"/>
          <w:szCs w:val="20"/>
        </w:rPr>
        <w:t> </w:t>
      </w:r>
      <w:r>
        <w:rPr>
          <w:rStyle w:val="head1"/>
          <w:rFonts w:ascii="Arial" w:hAnsi="Arial" w:cs="Arial"/>
          <w:b/>
          <w:bCs/>
          <w:color w:val="000000"/>
          <w:sz w:val="20"/>
          <w:szCs w:val="20"/>
        </w:rPr>
        <w:t>in a Group</w:t>
      </w:r>
      <w:hyperlink r:id="rId134" w:anchor="F2" w:history="1">
        <w:r>
          <w:rPr>
            <w:rStyle w:val="Hyperlink"/>
            <w:rFonts w:ascii="Arial" w:hAnsi="Arial" w:cs="Arial"/>
            <w:sz w:val="15"/>
            <w:szCs w:val="15"/>
            <w:vertAlign w:val="superscript"/>
          </w:rPr>
          <w:t>2</w:t>
        </w:r>
      </w:hyperlink>
      <w:r>
        <w:rPr>
          <w:rFonts w:ascii="Arial" w:hAnsi="Arial" w:cs="Arial"/>
          <w:color w:val="000000"/>
          <w:sz w:val="20"/>
          <w:szCs w:val="20"/>
        </w:rPr>
        <w:t> shall be consolidated to determine the threshold for their classification in the Middle Layer.</w:t>
      </w:r>
    </w:p>
    <w:p w:rsidR="00C96881" w:rsidRDefault="00C96881" w:rsidP="00C96881">
      <w:pPr>
        <w:pStyle w:val="NormalWeb"/>
        <w:jc w:val="both"/>
        <w:rPr>
          <w:rFonts w:ascii="Arial" w:hAnsi="Arial" w:cs="Arial"/>
          <w:color w:val="000000"/>
          <w:sz w:val="20"/>
          <w:szCs w:val="20"/>
        </w:rPr>
      </w:pPr>
      <w:r>
        <w:rPr>
          <w:rStyle w:val="head1"/>
          <w:rFonts w:ascii="Arial" w:hAnsi="Arial" w:cs="Arial"/>
          <w:b/>
          <w:bCs/>
          <w:color w:val="000000"/>
          <w:sz w:val="20"/>
          <w:szCs w:val="20"/>
        </w:rPr>
        <w:t>3.</w:t>
      </w:r>
      <w:r>
        <w:rPr>
          <w:rFonts w:ascii="Arial" w:hAnsi="Arial" w:cs="Arial"/>
          <w:color w:val="000000"/>
          <w:sz w:val="20"/>
          <w:szCs w:val="20"/>
        </w:rPr>
        <w:t> If the consolidated asset (consolidation as per para 2 above) size of the Group is ₹1000 crore and above, then each Investment and Credit Company (NBFC-ICC), Micro Finance Institution (NBFC-MFI), NBFC-Factor and Mortgage Guarantee Company (NBFC-MGC) lying in the Group shall be classified as an NBFC in the Middle Layer and consequently, regulations as applicable to the Middle Layer shall be applicable to them. Illustrative examples are provided in the </w:t>
      </w:r>
      <w:hyperlink r:id="rId135" w:anchor="AN1" w:history="1">
        <w:r>
          <w:rPr>
            <w:rStyle w:val="Hyperlink"/>
            <w:rFonts w:ascii="Arial" w:hAnsi="Arial" w:cs="Arial"/>
            <w:sz w:val="20"/>
            <w:szCs w:val="20"/>
          </w:rPr>
          <w:t>Annex</w:t>
        </w:r>
      </w:hyperlink>
      <w:r>
        <w:rPr>
          <w:rFonts w:ascii="Arial" w:hAnsi="Arial" w:cs="Arial"/>
          <w:color w:val="000000"/>
          <w:sz w:val="20"/>
          <w:szCs w:val="20"/>
        </w:rPr>
        <w:t> to this circular.</w:t>
      </w:r>
    </w:p>
    <w:p w:rsidR="00C96881" w:rsidRDefault="00C96881" w:rsidP="00C96881">
      <w:pPr>
        <w:pStyle w:val="NormalWeb"/>
        <w:jc w:val="both"/>
        <w:rPr>
          <w:rFonts w:ascii="Arial" w:hAnsi="Arial" w:cs="Arial"/>
          <w:color w:val="000000"/>
          <w:sz w:val="20"/>
          <w:szCs w:val="20"/>
        </w:rPr>
      </w:pPr>
      <w:r>
        <w:rPr>
          <w:rStyle w:val="head1"/>
          <w:rFonts w:ascii="Arial" w:hAnsi="Arial" w:cs="Arial"/>
          <w:b/>
          <w:bCs/>
          <w:color w:val="000000"/>
          <w:sz w:val="20"/>
          <w:szCs w:val="20"/>
        </w:rPr>
        <w:t>4.</w:t>
      </w:r>
      <w:r>
        <w:rPr>
          <w:rFonts w:ascii="Arial" w:hAnsi="Arial" w:cs="Arial"/>
          <w:color w:val="000000"/>
          <w:sz w:val="20"/>
          <w:szCs w:val="20"/>
        </w:rPr>
        <w:t> Statutory Auditors are required to certify the asset size (as on March 31) of all the NBFCs in the Group every year. The certificate shall be furnished to the Department of Supervision of the Reserve Bank under whose jurisdiction the NBFCs are registered.</w:t>
      </w:r>
    </w:p>
    <w:p w:rsidR="00C96881" w:rsidRDefault="00C96881" w:rsidP="00C96881">
      <w:pPr>
        <w:pStyle w:val="NormalWeb"/>
        <w:jc w:val="both"/>
        <w:rPr>
          <w:rFonts w:ascii="Arial" w:hAnsi="Arial" w:cs="Arial"/>
          <w:color w:val="000000"/>
          <w:sz w:val="20"/>
          <w:szCs w:val="20"/>
        </w:rPr>
      </w:pPr>
      <w:r>
        <w:rPr>
          <w:rStyle w:val="head1"/>
          <w:rFonts w:ascii="Arial" w:hAnsi="Arial" w:cs="Arial"/>
          <w:b/>
          <w:bCs/>
          <w:color w:val="000000"/>
          <w:sz w:val="20"/>
          <w:szCs w:val="20"/>
        </w:rPr>
        <w:t>5.</w:t>
      </w:r>
      <w:r>
        <w:rPr>
          <w:rFonts w:ascii="Arial" w:hAnsi="Arial" w:cs="Arial"/>
          <w:color w:val="000000"/>
          <w:sz w:val="20"/>
          <w:szCs w:val="20"/>
        </w:rPr>
        <w:t> These guidelines shall be effective from October 01, 2022.</w:t>
      </w:r>
    </w:p>
    <w:p w:rsidR="00C96881" w:rsidRDefault="00C96881" w:rsidP="00C96881">
      <w:pPr>
        <w:pStyle w:val="NormalWeb"/>
        <w:jc w:val="both"/>
        <w:rPr>
          <w:rFonts w:ascii="Arial" w:hAnsi="Arial" w:cs="Arial"/>
          <w:color w:val="000000"/>
          <w:sz w:val="20"/>
          <w:szCs w:val="20"/>
        </w:rPr>
      </w:pPr>
      <w:r>
        <w:rPr>
          <w:rStyle w:val="head1"/>
          <w:rFonts w:ascii="Arial" w:hAnsi="Arial" w:cs="Arial"/>
          <w:b/>
          <w:bCs/>
          <w:color w:val="000000"/>
          <w:sz w:val="20"/>
          <w:szCs w:val="20"/>
        </w:rPr>
        <w:t>6.</w:t>
      </w:r>
      <w:r>
        <w:rPr>
          <w:rFonts w:ascii="Arial" w:hAnsi="Arial" w:cs="Arial"/>
          <w:color w:val="000000"/>
          <w:sz w:val="20"/>
          <w:szCs w:val="20"/>
        </w:rPr>
        <w:t> Provisions contained in this circular will not be applicable for classifying an NBFC in the Upper Layer.</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Yours faithfully,</w:t>
      </w:r>
    </w:p>
    <w:p w:rsidR="00C96881" w:rsidRDefault="00C96881" w:rsidP="00C96881">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C96881" w:rsidRDefault="00C96881" w:rsidP="00C96881">
      <w:pPr>
        <w:spacing w:after="0"/>
        <w:rPr>
          <w:rFonts w:ascii="Arial" w:hAnsi="Arial" w:cs="Arial"/>
          <w:b/>
          <w:bCs/>
          <w:color w:val="000000"/>
          <w:sz w:val="20"/>
          <w:szCs w:val="20"/>
        </w:rPr>
      </w:pPr>
    </w:p>
    <w:p w:rsidR="00C96881" w:rsidRDefault="00C96881" w:rsidP="00C96881">
      <w:pPr>
        <w:spacing w:after="0"/>
        <w:rPr>
          <w:rFonts w:ascii="Arial" w:hAnsi="Arial" w:cs="Arial"/>
          <w:b/>
          <w:bCs/>
          <w:color w:val="000000"/>
          <w:sz w:val="20"/>
          <w:szCs w:val="20"/>
        </w:rPr>
      </w:pPr>
    </w:p>
    <w:p w:rsidR="00C96881" w:rsidRDefault="00C96881" w:rsidP="00C96881">
      <w:pPr>
        <w:spacing w:after="0"/>
        <w:rPr>
          <w:rFonts w:ascii="Arial" w:hAnsi="Arial" w:cs="Arial"/>
          <w:b/>
          <w:bCs/>
          <w:color w:val="000000"/>
          <w:sz w:val="20"/>
          <w:szCs w:val="20"/>
        </w:rPr>
      </w:pPr>
    </w:p>
    <w:p w:rsidR="00C96881" w:rsidRDefault="00C96881" w:rsidP="00C96881">
      <w:pPr>
        <w:spacing w:after="0"/>
        <w:rPr>
          <w:rFonts w:ascii="Arial" w:hAnsi="Arial" w:cs="Arial"/>
          <w:b/>
          <w:bCs/>
          <w:color w:val="000000"/>
          <w:sz w:val="20"/>
          <w:szCs w:val="20"/>
        </w:rPr>
      </w:pPr>
    </w:p>
    <w:p w:rsidR="00C96881" w:rsidRDefault="00C96881" w:rsidP="00C96881">
      <w:pPr>
        <w:spacing w:after="0"/>
        <w:rPr>
          <w:rFonts w:ascii="Arial" w:hAnsi="Arial" w:cs="Arial"/>
          <w:b/>
          <w:bCs/>
          <w:color w:val="000000"/>
          <w:sz w:val="20"/>
          <w:szCs w:val="20"/>
        </w:rPr>
      </w:pPr>
    </w:p>
    <w:p w:rsidR="00C96881" w:rsidRDefault="00C96881" w:rsidP="00C96881">
      <w:r>
        <w:t>More details can be referred to in the below link.</w:t>
      </w:r>
    </w:p>
    <w:p w:rsidR="00C96881" w:rsidRDefault="00C96881" w:rsidP="00C96881">
      <w:pPr>
        <w:spacing w:after="0"/>
        <w:rPr>
          <w:rFonts w:ascii="Arial" w:hAnsi="Arial" w:cs="Arial"/>
          <w:bCs/>
          <w:color w:val="000000"/>
          <w:sz w:val="20"/>
          <w:szCs w:val="20"/>
        </w:rPr>
      </w:pPr>
      <w:r>
        <w:rPr>
          <w:rFonts w:ascii="Arial" w:hAnsi="Arial" w:cs="Arial"/>
          <w:bCs/>
          <w:color w:val="000000"/>
          <w:sz w:val="20"/>
          <w:szCs w:val="20"/>
        </w:rPr>
        <w:t xml:space="preserve">Reference Link: </w:t>
      </w:r>
      <w:hyperlink r:id="rId136" w:history="1">
        <w:r w:rsidRPr="00396C70">
          <w:rPr>
            <w:rStyle w:val="Hyperlink"/>
            <w:rFonts w:ascii="Arial" w:hAnsi="Arial" w:cs="Arial"/>
            <w:bCs/>
            <w:sz w:val="20"/>
            <w:szCs w:val="20"/>
          </w:rPr>
          <w:t>https://www.rbi.org.in/Scripts/NotificationUser.aspx?Id=12400&amp;Mode=0</w:t>
        </w:r>
      </w:hyperlink>
    </w:p>
    <w:p w:rsidR="00C96881" w:rsidRDefault="00C96881" w:rsidP="00C96881">
      <w:pPr>
        <w:spacing w:after="0"/>
        <w:rPr>
          <w:rFonts w:ascii="Arial" w:hAnsi="Arial" w:cs="Arial"/>
          <w:b/>
          <w:bCs/>
          <w:color w:val="000000"/>
          <w:sz w:val="20"/>
          <w:szCs w:val="20"/>
        </w:rPr>
      </w:pPr>
    </w:p>
    <w:p w:rsidR="00C96881" w:rsidRDefault="00C96881" w:rsidP="00C96881">
      <w:pPr>
        <w:spacing w:after="0"/>
        <w:rPr>
          <w:rFonts w:ascii="Arial" w:hAnsi="Arial" w:cs="Arial"/>
          <w:b/>
          <w:bCs/>
          <w:color w:val="000000"/>
          <w:sz w:val="20"/>
          <w:szCs w:val="20"/>
        </w:rPr>
      </w:pPr>
    </w:p>
    <w:p w:rsidR="00C96881" w:rsidRDefault="00C96881" w:rsidP="00C96881">
      <w:pPr>
        <w:spacing w:after="0"/>
        <w:rPr>
          <w:rFonts w:ascii="Arial" w:hAnsi="Arial" w:cs="Arial"/>
          <w:b/>
          <w:bCs/>
          <w:color w:val="000000"/>
          <w:sz w:val="20"/>
          <w:szCs w:val="20"/>
        </w:rPr>
      </w:pPr>
    </w:p>
    <w:p w:rsidR="00C96881" w:rsidRDefault="00C96881" w:rsidP="00C96881">
      <w:pPr>
        <w:rPr>
          <w:rFonts w:ascii="Arial" w:hAnsi="Arial" w:cs="Arial"/>
          <w:bCs/>
          <w:color w:val="000000"/>
          <w:sz w:val="20"/>
          <w:szCs w:val="20"/>
        </w:rPr>
      </w:pPr>
    </w:p>
    <w:p w:rsidR="00C96881" w:rsidRDefault="00C96881" w:rsidP="00C96881">
      <w:pPr>
        <w:rPr>
          <w:rFonts w:ascii="Arial" w:hAnsi="Arial" w:cs="Arial"/>
          <w:bCs/>
          <w:color w:val="000000"/>
          <w:sz w:val="20"/>
          <w:szCs w:val="20"/>
        </w:rPr>
      </w:pPr>
    </w:p>
    <w:p w:rsidR="00C96881" w:rsidRDefault="00C96881" w:rsidP="00C96881">
      <w:pPr>
        <w:rPr>
          <w:rFonts w:ascii="Arial" w:hAnsi="Arial" w:cs="Arial"/>
          <w:b/>
          <w:bCs/>
          <w:color w:val="000000"/>
          <w:sz w:val="20"/>
          <w:szCs w:val="20"/>
        </w:rPr>
      </w:pPr>
      <w:r>
        <w:rPr>
          <w:rFonts w:ascii="Arial" w:hAnsi="Arial" w:cs="Arial"/>
          <w:b/>
          <w:bCs/>
          <w:color w:val="000000"/>
          <w:sz w:val="20"/>
          <w:szCs w:val="20"/>
        </w:rPr>
        <w:t>Reserve Bank of India (Financial Statements - Presentation and Disclosures) Directions, 2021 - Disclosure of Divergence in Asset Classification and Provisioning</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RBI/2022-23/130</w:t>
      </w:r>
      <w:r>
        <w:rPr>
          <w:rFonts w:ascii="Arial" w:hAnsi="Arial" w:cs="Arial"/>
          <w:color w:val="000000"/>
          <w:sz w:val="20"/>
          <w:szCs w:val="20"/>
        </w:rPr>
        <w:br/>
        <w:t>DOR.ACC.REC.No.74/21.04.018/2022-23</w:t>
      </w:r>
    </w:p>
    <w:p w:rsidR="00C96881" w:rsidRDefault="00C96881" w:rsidP="00C96881">
      <w:pPr>
        <w:pStyle w:val="NormalWeb"/>
        <w:jc w:val="right"/>
        <w:rPr>
          <w:rFonts w:ascii="Arial" w:hAnsi="Arial" w:cs="Arial"/>
          <w:color w:val="000000"/>
          <w:sz w:val="20"/>
          <w:szCs w:val="20"/>
        </w:rPr>
      </w:pPr>
      <w:r>
        <w:rPr>
          <w:rFonts w:ascii="Arial" w:hAnsi="Arial" w:cs="Arial"/>
          <w:color w:val="000000"/>
          <w:sz w:val="20"/>
          <w:szCs w:val="20"/>
        </w:rPr>
        <w:t>October 11, 2022</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Madam / Dear Sir,</w:t>
      </w:r>
    </w:p>
    <w:p w:rsidR="00C96881" w:rsidRDefault="00C96881" w:rsidP="00C96881">
      <w:pPr>
        <w:pStyle w:val="head"/>
        <w:jc w:val="both"/>
        <w:rPr>
          <w:rFonts w:ascii="Arial" w:hAnsi="Arial" w:cs="Arial"/>
          <w:b/>
          <w:bCs/>
          <w:color w:val="000000"/>
          <w:sz w:val="20"/>
          <w:szCs w:val="20"/>
        </w:rPr>
      </w:pPr>
      <w:r>
        <w:rPr>
          <w:rFonts w:ascii="Arial" w:hAnsi="Arial" w:cs="Arial"/>
          <w:b/>
          <w:bCs/>
          <w:color w:val="000000"/>
          <w:sz w:val="20"/>
          <w:szCs w:val="20"/>
        </w:rPr>
        <w:t>Reserve Bank of India (Financial Statements - Presentation and Disclosures) Directions, 2021 - Disclosure of Divergence in Asset Classification and Provisioning</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In terms of paragraph C.4(e) of Annexure III to the </w:t>
      </w:r>
      <w:hyperlink r:id="rId137" w:tgtFrame="_blank" w:history="1">
        <w:r>
          <w:rPr>
            <w:rStyle w:val="Hyperlink"/>
            <w:rFonts w:ascii="Arial" w:hAnsi="Arial" w:cs="Arial"/>
            <w:sz w:val="20"/>
            <w:szCs w:val="20"/>
          </w:rPr>
          <w:t>Reserve Bank of India (Financial Statements-Presentation and Disclosures) Directions, 2021</w:t>
        </w:r>
      </w:hyperlink>
      <w:r>
        <w:rPr>
          <w:rFonts w:ascii="Arial" w:hAnsi="Arial" w:cs="Arial"/>
          <w:color w:val="000000"/>
          <w:sz w:val="20"/>
          <w:szCs w:val="20"/>
        </w:rPr>
        <w:t>, commercial banks (excluding Regional Rural Banks (RRBs)) are required to disclose details of divergence in asset classification and provisioning where such divergence assessed by the Reserve Bank of India (RBI) exceeds certain specified thresholds. In order to strengthen compliance with income recognition, asset classification and provisioning norms, it has now been decided to introduce similar disclosure requirements for Primary (Urban) Co-operative Banks (UCBs) and revise the specified thresholds for commercial banks.</w:t>
      </w:r>
    </w:p>
    <w:p w:rsidR="00C96881" w:rsidRDefault="00C96881" w:rsidP="00C96881">
      <w:pPr>
        <w:pStyle w:val="NormalWeb"/>
        <w:spacing w:after="0" w:afterAutospacing="0"/>
        <w:jc w:val="both"/>
        <w:rPr>
          <w:rFonts w:ascii="Arial" w:hAnsi="Arial" w:cs="Arial"/>
          <w:color w:val="000000"/>
          <w:sz w:val="20"/>
          <w:szCs w:val="20"/>
        </w:rPr>
      </w:pPr>
      <w:r>
        <w:rPr>
          <w:rFonts w:ascii="Arial" w:hAnsi="Arial" w:cs="Arial"/>
          <w:color w:val="000000"/>
          <w:sz w:val="20"/>
          <w:szCs w:val="20"/>
        </w:rPr>
        <w:t>2. Accordingly, for the financial statements for the year ending March 31, 2023, banks shall make suitable disclosures in the manner specified in paragraph C.4(e) of Annex III to the afore-mentioned Directions, if either or both of the following conditions are satisfied:</w:t>
      </w:r>
    </w:p>
    <w:p w:rsidR="00C96881" w:rsidRDefault="00C96881" w:rsidP="00DA1141">
      <w:pPr>
        <w:pStyle w:val="NormalWeb"/>
        <w:numPr>
          <w:ilvl w:val="0"/>
          <w:numId w:val="14"/>
        </w:numPr>
        <w:ind w:left="0"/>
        <w:jc w:val="both"/>
        <w:rPr>
          <w:rFonts w:ascii="Arial" w:hAnsi="Arial" w:cs="Arial"/>
          <w:color w:val="000000"/>
          <w:sz w:val="20"/>
          <w:szCs w:val="20"/>
        </w:rPr>
      </w:pPr>
      <w:r>
        <w:rPr>
          <w:rFonts w:ascii="Arial" w:hAnsi="Arial" w:cs="Arial"/>
          <w:color w:val="000000"/>
          <w:sz w:val="20"/>
          <w:szCs w:val="20"/>
        </w:rPr>
        <w:t>the additional provisioning for non-performing assets (NPAs) assessed by the RBI exceeds 10 per cent of the reported profit before provisions and contingencies</w:t>
      </w:r>
      <w:hyperlink r:id="rId138" w:anchor="F1" w:history="1">
        <w:r>
          <w:rPr>
            <w:rStyle w:val="Hyperlink"/>
            <w:rFonts w:ascii="Arial" w:hAnsi="Arial" w:cs="Arial"/>
            <w:sz w:val="15"/>
            <w:szCs w:val="15"/>
            <w:vertAlign w:val="superscript"/>
          </w:rPr>
          <w:t>1</w:t>
        </w:r>
      </w:hyperlink>
      <w:r>
        <w:rPr>
          <w:rFonts w:ascii="Arial" w:hAnsi="Arial" w:cs="Arial"/>
          <w:color w:val="000000"/>
          <w:sz w:val="20"/>
          <w:szCs w:val="20"/>
        </w:rPr>
        <w:t> for the reference period; and</w:t>
      </w:r>
    </w:p>
    <w:p w:rsidR="00C96881" w:rsidRDefault="00C96881" w:rsidP="00DA1141">
      <w:pPr>
        <w:pStyle w:val="NormalWeb"/>
        <w:numPr>
          <w:ilvl w:val="0"/>
          <w:numId w:val="14"/>
        </w:numPr>
        <w:spacing w:before="0" w:beforeAutospacing="0" w:after="0" w:afterAutospacing="0"/>
        <w:ind w:left="0"/>
        <w:jc w:val="both"/>
        <w:rPr>
          <w:rFonts w:ascii="Arial" w:hAnsi="Arial" w:cs="Arial"/>
          <w:color w:val="000000"/>
          <w:sz w:val="20"/>
          <w:szCs w:val="20"/>
        </w:rPr>
      </w:pPr>
      <w:r>
        <w:rPr>
          <w:rFonts w:ascii="Arial" w:hAnsi="Arial" w:cs="Arial"/>
          <w:color w:val="000000"/>
          <w:sz w:val="20"/>
          <w:szCs w:val="20"/>
        </w:rPr>
        <w:t>the additional Gross NPAs identified by the RBI exceed 10 per cent of the reported</w:t>
      </w:r>
      <w:hyperlink r:id="rId139" w:anchor="F2" w:history="1">
        <w:r>
          <w:rPr>
            <w:rStyle w:val="Hyperlink"/>
            <w:rFonts w:ascii="Arial" w:hAnsi="Arial" w:cs="Arial"/>
            <w:sz w:val="15"/>
            <w:szCs w:val="15"/>
            <w:vertAlign w:val="superscript"/>
          </w:rPr>
          <w:t>2</w:t>
        </w:r>
      </w:hyperlink>
      <w:r>
        <w:rPr>
          <w:rFonts w:ascii="Arial" w:hAnsi="Arial" w:cs="Arial"/>
          <w:color w:val="000000"/>
          <w:sz w:val="20"/>
          <w:szCs w:val="20"/>
        </w:rPr>
        <w:t> incremental Gross NPAs for the reference period.</w:t>
      </w:r>
    </w:p>
    <w:p w:rsidR="00C96881" w:rsidRDefault="00C96881" w:rsidP="00C96881">
      <w:pPr>
        <w:pStyle w:val="NormalWeb"/>
        <w:spacing w:before="0" w:beforeAutospacing="0"/>
        <w:jc w:val="both"/>
        <w:rPr>
          <w:rFonts w:ascii="Arial" w:hAnsi="Arial" w:cs="Arial"/>
          <w:color w:val="000000"/>
          <w:sz w:val="20"/>
          <w:szCs w:val="20"/>
        </w:rPr>
      </w:pPr>
      <w:r>
        <w:rPr>
          <w:rFonts w:ascii="Arial" w:hAnsi="Arial" w:cs="Arial"/>
          <w:color w:val="000000"/>
          <w:sz w:val="20"/>
          <w:szCs w:val="20"/>
        </w:rPr>
        <w:t>Provided further that in the case of UCBs the threshold for reported incremental Gross NPAs specified in paragraph 2(b) above shall be 15 per cent, which shall be reduced progressively in a phased manner, after review.</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3. The thresholds specified in paragraph (2) above shall be revised for disclosures in annual financial statements for the year ending March 31, 2024, and onwards, as under:</w:t>
      </w:r>
    </w:p>
    <w:tbl>
      <w:tblPr>
        <w:tblW w:w="54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0"/>
        <w:gridCol w:w="4682"/>
        <w:gridCol w:w="2694"/>
        <w:gridCol w:w="1859"/>
      </w:tblGrid>
      <w:tr w:rsidR="00C96881" w:rsidTr="00C96881">
        <w:trPr>
          <w:trHeight w:val="437"/>
          <w:jc w:val="center"/>
        </w:trPr>
        <w:tc>
          <w:tcPr>
            <w:tcW w:w="286" w:type="pct"/>
            <w:tcMar>
              <w:top w:w="0" w:type="dxa"/>
              <w:left w:w="45" w:type="dxa"/>
              <w:bottom w:w="0" w:type="dxa"/>
              <w:right w:w="45" w:type="dxa"/>
            </w:tcMar>
            <w:vAlign w:val="center"/>
            <w:hideMark/>
          </w:tcPr>
          <w:p w:rsidR="00C96881" w:rsidRDefault="00C96881" w:rsidP="00C96881">
            <w:pPr>
              <w:jc w:val="center"/>
              <w:rPr>
                <w:rFonts w:ascii="Arial" w:hAnsi="Arial" w:cs="Arial"/>
                <w:b/>
                <w:bCs/>
                <w:color w:val="000000"/>
                <w:sz w:val="20"/>
                <w:szCs w:val="20"/>
              </w:rPr>
            </w:pPr>
            <w:r>
              <w:rPr>
                <w:rFonts w:ascii="Arial" w:hAnsi="Arial" w:cs="Arial"/>
                <w:b/>
                <w:bCs/>
                <w:color w:val="000000"/>
                <w:sz w:val="20"/>
                <w:szCs w:val="20"/>
              </w:rPr>
              <w:t>Ref.</w:t>
            </w:r>
          </w:p>
        </w:tc>
        <w:tc>
          <w:tcPr>
            <w:tcW w:w="2390" w:type="pct"/>
            <w:tcMar>
              <w:top w:w="0" w:type="dxa"/>
              <w:left w:w="45" w:type="dxa"/>
              <w:bottom w:w="0" w:type="dxa"/>
              <w:right w:w="45" w:type="dxa"/>
            </w:tcMar>
            <w:vAlign w:val="center"/>
            <w:hideMark/>
          </w:tcPr>
          <w:p w:rsidR="00C96881" w:rsidRDefault="00C96881" w:rsidP="00C96881">
            <w:pPr>
              <w:jc w:val="center"/>
              <w:rPr>
                <w:rFonts w:ascii="Arial" w:hAnsi="Arial" w:cs="Arial"/>
                <w:b/>
                <w:bCs/>
                <w:color w:val="000000"/>
                <w:sz w:val="20"/>
                <w:szCs w:val="20"/>
              </w:rPr>
            </w:pPr>
            <w:r>
              <w:rPr>
                <w:rFonts w:ascii="Arial" w:hAnsi="Arial" w:cs="Arial"/>
                <w:b/>
                <w:bCs/>
                <w:color w:val="000000"/>
                <w:sz w:val="20"/>
                <w:szCs w:val="20"/>
              </w:rPr>
              <w:t>Threshold linked to:</w:t>
            </w:r>
          </w:p>
        </w:tc>
        <w:tc>
          <w:tcPr>
            <w:tcW w:w="1375" w:type="pct"/>
            <w:tcMar>
              <w:top w:w="0" w:type="dxa"/>
              <w:left w:w="45" w:type="dxa"/>
              <w:bottom w:w="0" w:type="dxa"/>
              <w:right w:w="45" w:type="dxa"/>
            </w:tcMar>
            <w:vAlign w:val="center"/>
            <w:hideMark/>
          </w:tcPr>
          <w:p w:rsidR="00C96881" w:rsidRDefault="00C96881" w:rsidP="00C96881">
            <w:pPr>
              <w:jc w:val="center"/>
              <w:rPr>
                <w:rFonts w:ascii="Arial" w:hAnsi="Arial" w:cs="Arial"/>
                <w:b/>
                <w:bCs/>
                <w:color w:val="000000"/>
                <w:sz w:val="20"/>
                <w:szCs w:val="20"/>
              </w:rPr>
            </w:pPr>
            <w:r>
              <w:rPr>
                <w:rFonts w:ascii="Arial" w:hAnsi="Arial" w:cs="Arial"/>
                <w:b/>
                <w:bCs/>
                <w:color w:val="000000"/>
                <w:sz w:val="20"/>
                <w:szCs w:val="20"/>
              </w:rPr>
              <w:t>Commercial Banks (%)</w:t>
            </w:r>
          </w:p>
        </w:tc>
        <w:tc>
          <w:tcPr>
            <w:tcW w:w="949" w:type="pct"/>
            <w:tcMar>
              <w:top w:w="0" w:type="dxa"/>
              <w:left w:w="45" w:type="dxa"/>
              <w:bottom w:w="0" w:type="dxa"/>
              <w:right w:w="45" w:type="dxa"/>
            </w:tcMar>
            <w:vAlign w:val="center"/>
            <w:hideMark/>
          </w:tcPr>
          <w:p w:rsidR="00C96881" w:rsidRDefault="00C96881" w:rsidP="00C96881">
            <w:pPr>
              <w:jc w:val="center"/>
              <w:rPr>
                <w:rFonts w:ascii="Arial" w:hAnsi="Arial" w:cs="Arial"/>
                <w:b/>
                <w:bCs/>
                <w:color w:val="000000"/>
                <w:sz w:val="20"/>
                <w:szCs w:val="20"/>
              </w:rPr>
            </w:pPr>
            <w:r>
              <w:rPr>
                <w:rFonts w:ascii="Arial" w:hAnsi="Arial" w:cs="Arial"/>
                <w:b/>
                <w:bCs/>
                <w:color w:val="000000"/>
                <w:sz w:val="20"/>
                <w:szCs w:val="20"/>
              </w:rPr>
              <w:t>UCBs (%)</w:t>
            </w:r>
          </w:p>
        </w:tc>
      </w:tr>
      <w:tr w:rsidR="00C96881" w:rsidTr="00C96881">
        <w:trPr>
          <w:trHeight w:val="442"/>
          <w:jc w:val="center"/>
        </w:trPr>
        <w:tc>
          <w:tcPr>
            <w:tcW w:w="286" w:type="pct"/>
            <w:tcMar>
              <w:top w:w="0" w:type="dxa"/>
              <w:left w:w="45" w:type="dxa"/>
              <w:bottom w:w="0" w:type="dxa"/>
              <w:right w:w="45" w:type="dxa"/>
            </w:tcMar>
            <w:vAlign w:val="center"/>
            <w:hideMark/>
          </w:tcPr>
          <w:p w:rsidR="00C96881" w:rsidRDefault="00C96881" w:rsidP="00C96881">
            <w:pPr>
              <w:jc w:val="center"/>
              <w:rPr>
                <w:rFonts w:ascii="Arial" w:hAnsi="Arial" w:cs="Arial"/>
                <w:color w:val="000000"/>
                <w:sz w:val="20"/>
                <w:szCs w:val="20"/>
              </w:rPr>
            </w:pPr>
            <w:r>
              <w:rPr>
                <w:rFonts w:ascii="Arial" w:hAnsi="Arial" w:cs="Arial"/>
                <w:color w:val="000000"/>
                <w:sz w:val="20"/>
                <w:szCs w:val="20"/>
              </w:rPr>
              <w:t>2(a)</w:t>
            </w:r>
          </w:p>
        </w:tc>
        <w:tc>
          <w:tcPr>
            <w:tcW w:w="2390" w:type="pct"/>
            <w:tcMar>
              <w:top w:w="0" w:type="dxa"/>
              <w:left w:w="45" w:type="dxa"/>
              <w:bottom w:w="0" w:type="dxa"/>
              <w:right w:w="45" w:type="dxa"/>
            </w:tcMar>
            <w:vAlign w:val="center"/>
            <w:hideMark/>
          </w:tcPr>
          <w:p w:rsidR="00C96881" w:rsidRDefault="00C96881" w:rsidP="00C96881">
            <w:pPr>
              <w:jc w:val="both"/>
              <w:rPr>
                <w:rFonts w:ascii="Arial" w:hAnsi="Arial" w:cs="Arial"/>
                <w:color w:val="000000"/>
                <w:sz w:val="20"/>
                <w:szCs w:val="20"/>
              </w:rPr>
            </w:pPr>
            <w:r>
              <w:rPr>
                <w:rFonts w:ascii="Arial" w:hAnsi="Arial" w:cs="Arial"/>
                <w:color w:val="000000"/>
                <w:sz w:val="20"/>
                <w:szCs w:val="20"/>
              </w:rPr>
              <w:t>Reported profit before provisions and contingencies</w:t>
            </w:r>
          </w:p>
        </w:tc>
        <w:tc>
          <w:tcPr>
            <w:tcW w:w="1375" w:type="pct"/>
            <w:tcMar>
              <w:top w:w="0" w:type="dxa"/>
              <w:left w:w="45" w:type="dxa"/>
              <w:bottom w:w="0" w:type="dxa"/>
              <w:right w:w="45" w:type="dxa"/>
            </w:tcMar>
            <w:vAlign w:val="center"/>
            <w:hideMark/>
          </w:tcPr>
          <w:p w:rsidR="00C96881" w:rsidRDefault="00C96881" w:rsidP="00C96881">
            <w:pPr>
              <w:jc w:val="center"/>
              <w:rPr>
                <w:rFonts w:ascii="Arial" w:hAnsi="Arial" w:cs="Arial"/>
                <w:color w:val="000000"/>
                <w:sz w:val="20"/>
                <w:szCs w:val="20"/>
              </w:rPr>
            </w:pPr>
            <w:r>
              <w:rPr>
                <w:rFonts w:ascii="Arial" w:hAnsi="Arial" w:cs="Arial"/>
                <w:color w:val="000000"/>
                <w:sz w:val="20"/>
                <w:szCs w:val="20"/>
              </w:rPr>
              <w:t>5</w:t>
            </w:r>
          </w:p>
        </w:tc>
        <w:tc>
          <w:tcPr>
            <w:tcW w:w="949" w:type="pct"/>
            <w:tcMar>
              <w:top w:w="0" w:type="dxa"/>
              <w:left w:w="45" w:type="dxa"/>
              <w:bottom w:w="0" w:type="dxa"/>
              <w:right w:w="45" w:type="dxa"/>
            </w:tcMar>
            <w:vAlign w:val="center"/>
            <w:hideMark/>
          </w:tcPr>
          <w:p w:rsidR="00C96881" w:rsidRDefault="00C96881" w:rsidP="00C96881">
            <w:pPr>
              <w:jc w:val="center"/>
              <w:rPr>
                <w:rFonts w:ascii="Arial" w:hAnsi="Arial" w:cs="Arial"/>
                <w:color w:val="000000"/>
                <w:sz w:val="20"/>
                <w:szCs w:val="20"/>
              </w:rPr>
            </w:pPr>
            <w:r>
              <w:rPr>
                <w:rFonts w:ascii="Arial" w:hAnsi="Arial" w:cs="Arial"/>
                <w:color w:val="000000"/>
                <w:sz w:val="20"/>
                <w:szCs w:val="20"/>
              </w:rPr>
              <w:t>5</w:t>
            </w:r>
          </w:p>
        </w:tc>
      </w:tr>
      <w:tr w:rsidR="00C96881" w:rsidTr="00C96881">
        <w:trPr>
          <w:trHeight w:val="273"/>
          <w:jc w:val="center"/>
        </w:trPr>
        <w:tc>
          <w:tcPr>
            <w:tcW w:w="286" w:type="pct"/>
            <w:tcMar>
              <w:top w:w="0" w:type="dxa"/>
              <w:left w:w="45" w:type="dxa"/>
              <w:bottom w:w="0" w:type="dxa"/>
              <w:right w:w="45" w:type="dxa"/>
            </w:tcMar>
            <w:vAlign w:val="center"/>
            <w:hideMark/>
          </w:tcPr>
          <w:p w:rsidR="00C96881" w:rsidRDefault="00C96881" w:rsidP="00C96881">
            <w:pPr>
              <w:jc w:val="center"/>
              <w:rPr>
                <w:rFonts w:ascii="Arial" w:hAnsi="Arial" w:cs="Arial"/>
                <w:color w:val="000000"/>
                <w:sz w:val="20"/>
                <w:szCs w:val="20"/>
              </w:rPr>
            </w:pPr>
            <w:r>
              <w:rPr>
                <w:rFonts w:ascii="Arial" w:hAnsi="Arial" w:cs="Arial"/>
                <w:color w:val="000000"/>
                <w:sz w:val="20"/>
                <w:szCs w:val="20"/>
              </w:rPr>
              <w:t>2(b)</w:t>
            </w:r>
          </w:p>
        </w:tc>
        <w:tc>
          <w:tcPr>
            <w:tcW w:w="2390" w:type="pct"/>
            <w:tcMar>
              <w:top w:w="0" w:type="dxa"/>
              <w:left w:w="45" w:type="dxa"/>
              <w:bottom w:w="0" w:type="dxa"/>
              <w:right w:w="45" w:type="dxa"/>
            </w:tcMar>
            <w:vAlign w:val="center"/>
            <w:hideMark/>
          </w:tcPr>
          <w:p w:rsidR="00C96881" w:rsidRDefault="00C96881" w:rsidP="00C96881">
            <w:pPr>
              <w:jc w:val="both"/>
              <w:rPr>
                <w:rFonts w:ascii="Arial" w:hAnsi="Arial" w:cs="Arial"/>
                <w:color w:val="000000"/>
                <w:sz w:val="20"/>
                <w:szCs w:val="20"/>
              </w:rPr>
            </w:pPr>
            <w:r>
              <w:rPr>
                <w:rFonts w:ascii="Arial" w:hAnsi="Arial" w:cs="Arial"/>
                <w:color w:val="000000"/>
                <w:sz w:val="20"/>
                <w:szCs w:val="20"/>
              </w:rPr>
              <w:t>Reported incremental Gross NPA</w:t>
            </w:r>
          </w:p>
        </w:tc>
        <w:tc>
          <w:tcPr>
            <w:tcW w:w="1375" w:type="pct"/>
            <w:tcMar>
              <w:top w:w="0" w:type="dxa"/>
              <w:left w:w="45" w:type="dxa"/>
              <w:bottom w:w="0" w:type="dxa"/>
              <w:right w:w="45" w:type="dxa"/>
            </w:tcMar>
            <w:vAlign w:val="center"/>
            <w:hideMark/>
          </w:tcPr>
          <w:p w:rsidR="00C96881" w:rsidRDefault="00C96881" w:rsidP="00C96881">
            <w:pPr>
              <w:jc w:val="center"/>
              <w:rPr>
                <w:rFonts w:ascii="Arial" w:hAnsi="Arial" w:cs="Arial"/>
                <w:color w:val="000000"/>
                <w:sz w:val="20"/>
                <w:szCs w:val="20"/>
              </w:rPr>
            </w:pPr>
            <w:r>
              <w:rPr>
                <w:rFonts w:ascii="Arial" w:hAnsi="Arial" w:cs="Arial"/>
                <w:color w:val="000000"/>
                <w:sz w:val="20"/>
                <w:szCs w:val="20"/>
              </w:rPr>
              <w:t>5</w:t>
            </w:r>
          </w:p>
        </w:tc>
        <w:tc>
          <w:tcPr>
            <w:tcW w:w="949" w:type="pct"/>
            <w:tcMar>
              <w:top w:w="0" w:type="dxa"/>
              <w:left w:w="45" w:type="dxa"/>
              <w:bottom w:w="0" w:type="dxa"/>
              <w:right w:w="45" w:type="dxa"/>
            </w:tcMar>
            <w:vAlign w:val="center"/>
            <w:hideMark/>
          </w:tcPr>
          <w:p w:rsidR="00C96881" w:rsidRDefault="00C96881" w:rsidP="00C96881">
            <w:pPr>
              <w:jc w:val="center"/>
              <w:rPr>
                <w:rFonts w:ascii="Arial" w:hAnsi="Arial" w:cs="Arial"/>
                <w:color w:val="000000"/>
                <w:sz w:val="20"/>
                <w:szCs w:val="20"/>
              </w:rPr>
            </w:pPr>
            <w:r>
              <w:rPr>
                <w:rFonts w:ascii="Arial" w:hAnsi="Arial" w:cs="Arial"/>
                <w:color w:val="000000"/>
                <w:sz w:val="20"/>
                <w:szCs w:val="20"/>
              </w:rPr>
              <w:t>15*</w:t>
            </w:r>
          </w:p>
        </w:tc>
      </w:tr>
      <w:tr w:rsidR="00C96881" w:rsidTr="00C96881">
        <w:trPr>
          <w:trHeight w:val="197"/>
          <w:jc w:val="center"/>
        </w:trPr>
        <w:tc>
          <w:tcPr>
            <w:tcW w:w="5000" w:type="pct"/>
            <w:gridSpan w:val="4"/>
            <w:tcMar>
              <w:top w:w="0" w:type="dxa"/>
              <w:left w:w="45" w:type="dxa"/>
              <w:bottom w:w="0" w:type="dxa"/>
              <w:right w:w="45" w:type="dxa"/>
            </w:tcMar>
            <w:vAlign w:val="center"/>
            <w:hideMark/>
          </w:tcPr>
          <w:p w:rsidR="00C96881" w:rsidRDefault="00C96881" w:rsidP="00C96881">
            <w:pPr>
              <w:jc w:val="both"/>
              <w:rPr>
                <w:rFonts w:ascii="Arial" w:hAnsi="Arial" w:cs="Arial"/>
                <w:color w:val="000000"/>
                <w:sz w:val="20"/>
                <w:szCs w:val="20"/>
              </w:rPr>
            </w:pPr>
            <w:r>
              <w:rPr>
                <w:rFonts w:ascii="Arial" w:hAnsi="Arial" w:cs="Arial"/>
                <w:color w:val="000000"/>
                <w:sz w:val="20"/>
                <w:szCs w:val="20"/>
              </w:rPr>
              <w:t>*May be reduced subject to review</w:t>
            </w:r>
          </w:p>
        </w:tc>
      </w:tr>
    </w:tbl>
    <w:p w:rsidR="00C96881" w:rsidRDefault="00C96881" w:rsidP="00C96881">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C96881" w:rsidRDefault="00C96881" w:rsidP="00C96881">
      <w:pPr>
        <w:pStyle w:val="NormalWeb"/>
        <w:spacing w:before="0" w:before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C96881" w:rsidRDefault="00C96881" w:rsidP="00C96881">
      <w:pPr>
        <w:rPr>
          <w:rFonts w:ascii="Arial" w:hAnsi="Arial" w:cs="Arial"/>
          <w:sz w:val="20"/>
          <w:szCs w:val="20"/>
        </w:rPr>
      </w:pPr>
    </w:p>
    <w:p w:rsidR="00C96881" w:rsidRDefault="00C96881" w:rsidP="00C96881">
      <w:pPr>
        <w:rPr>
          <w:rFonts w:ascii="Arial" w:hAnsi="Arial" w:cs="Arial"/>
          <w:sz w:val="20"/>
          <w:szCs w:val="20"/>
        </w:rPr>
      </w:pPr>
    </w:p>
    <w:p w:rsidR="00C96881" w:rsidRDefault="00C96881" w:rsidP="00C96881">
      <w:pPr>
        <w:spacing w:after="0"/>
      </w:pPr>
      <w:r>
        <w:t>More details can be referred to in the below link.</w:t>
      </w:r>
    </w:p>
    <w:p w:rsidR="00C96881" w:rsidRDefault="00C96881" w:rsidP="00C96881">
      <w:pPr>
        <w:rPr>
          <w:rFonts w:ascii="Arial" w:hAnsi="Arial" w:cs="Arial"/>
          <w:bCs/>
          <w:color w:val="000000"/>
          <w:sz w:val="20"/>
          <w:szCs w:val="20"/>
        </w:rPr>
      </w:pPr>
      <w:r>
        <w:rPr>
          <w:rFonts w:ascii="Arial" w:hAnsi="Arial" w:cs="Arial"/>
          <w:bCs/>
          <w:color w:val="000000"/>
          <w:sz w:val="20"/>
          <w:szCs w:val="20"/>
        </w:rPr>
        <w:lastRenderedPageBreak/>
        <w:t xml:space="preserve">Reference Link: </w:t>
      </w:r>
      <w:hyperlink r:id="rId140" w:anchor=":~:text=4(e)%20of%20Annexure%20III,by%20the%20Reserve%20Bank%20of" w:history="1">
        <w:r w:rsidRPr="00735218">
          <w:rPr>
            <w:rStyle w:val="Hyperlink"/>
            <w:rFonts w:ascii="Arial" w:hAnsi="Arial" w:cs="Arial"/>
            <w:bCs/>
            <w:sz w:val="20"/>
            <w:szCs w:val="20"/>
          </w:rPr>
          <w:t>https://www.rbi.org.in/scripts/FS_Notification.aspx?Id=12401&amp;fn=2&amp;Mode=0#:~:text=4(e)%20of%20Annexure%20III,by%20the%20Reserve%20Bank%20of</w:t>
        </w:r>
      </w:hyperlink>
    </w:p>
    <w:p w:rsidR="00C96881" w:rsidRDefault="00C96881" w:rsidP="00C96881">
      <w:pPr>
        <w:rPr>
          <w:rFonts w:ascii="Arial" w:hAnsi="Arial" w:cs="Arial"/>
          <w:b/>
          <w:bCs/>
          <w:color w:val="000000"/>
          <w:sz w:val="20"/>
          <w:szCs w:val="20"/>
        </w:rPr>
      </w:pPr>
      <w:r>
        <w:rPr>
          <w:rFonts w:ascii="Arial" w:hAnsi="Arial" w:cs="Arial"/>
          <w:b/>
          <w:bCs/>
          <w:color w:val="000000"/>
          <w:sz w:val="20"/>
          <w:szCs w:val="20"/>
        </w:rPr>
        <w:t>Reserve Bank of India (Unhedged Foreign Currency Exposure) Directions, 2022</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RBI/2022-23/131</w:t>
      </w:r>
      <w:r>
        <w:rPr>
          <w:rFonts w:ascii="Arial" w:hAnsi="Arial" w:cs="Arial"/>
          <w:color w:val="000000"/>
          <w:sz w:val="20"/>
          <w:szCs w:val="20"/>
        </w:rPr>
        <w:br/>
        <w:t>DOR.MRG.REC.76/00-00-007/2022-23</w:t>
      </w:r>
    </w:p>
    <w:p w:rsidR="00C96881" w:rsidRDefault="00C96881" w:rsidP="00C96881">
      <w:pPr>
        <w:pStyle w:val="NormalWeb"/>
        <w:jc w:val="right"/>
        <w:rPr>
          <w:rFonts w:ascii="Arial" w:hAnsi="Arial" w:cs="Arial"/>
          <w:color w:val="000000"/>
          <w:sz w:val="20"/>
          <w:szCs w:val="20"/>
        </w:rPr>
      </w:pPr>
      <w:r>
        <w:rPr>
          <w:rFonts w:ascii="Arial" w:hAnsi="Arial" w:cs="Arial"/>
          <w:color w:val="000000"/>
          <w:sz w:val="20"/>
          <w:szCs w:val="20"/>
        </w:rPr>
        <w:t>October 11, 2022</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Dear Sir / Madam,</w:t>
      </w:r>
    </w:p>
    <w:p w:rsidR="00C96881" w:rsidRDefault="00C96881" w:rsidP="00C96881">
      <w:pPr>
        <w:pStyle w:val="head"/>
        <w:jc w:val="both"/>
        <w:rPr>
          <w:rFonts w:ascii="Arial" w:hAnsi="Arial" w:cs="Arial"/>
          <w:b/>
          <w:bCs/>
          <w:color w:val="000000"/>
          <w:sz w:val="20"/>
          <w:szCs w:val="20"/>
        </w:rPr>
      </w:pPr>
      <w:r>
        <w:rPr>
          <w:rFonts w:ascii="Arial" w:hAnsi="Arial" w:cs="Arial"/>
          <w:b/>
          <w:bCs/>
          <w:color w:val="000000"/>
          <w:sz w:val="20"/>
          <w:szCs w:val="20"/>
        </w:rPr>
        <w:t>Reserve Bank of India (Unhedged Foreign Currency Exposure) Directions, 2022</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The Reserve Bank of India has, from time to time, issued several guidelines / instructions / directives to the banks on Unhedged Foreign Currency Exposure (UFCE) of the entities which have borrowed from banks.</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2. We have received references from banks seeking clarification on various aspects including inter-alia clarity in the definition of ‘entities’ for which banks shall assess UFCE, exempted exposures / entities, alternative method for smaller entities, assessment of UFCE of entities incorporated outside India by overseas subsidiaries / branches of Indian banks etc.</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3. Accordingly, a comprehensive review of the extant guidelines has been undertaken and all the existing instructions on the subject including the revisions / clarifications on the issues stated above have been consolidated in the </w:t>
      </w:r>
      <w:hyperlink r:id="rId141" w:anchor="DI77" w:history="1">
        <w:r>
          <w:rPr>
            <w:rStyle w:val="Hyperlink"/>
            <w:rFonts w:ascii="Arial" w:hAnsi="Arial" w:cs="Arial"/>
            <w:sz w:val="20"/>
            <w:szCs w:val="20"/>
          </w:rPr>
          <w:t>Directions enclosed</w:t>
        </w:r>
      </w:hyperlink>
      <w:r>
        <w:rPr>
          <w:rFonts w:ascii="Arial" w:hAnsi="Arial" w:cs="Arial"/>
          <w:color w:val="000000"/>
          <w:sz w:val="20"/>
          <w:szCs w:val="20"/>
        </w:rPr>
        <w:t> herewith. An </w:t>
      </w:r>
      <w:hyperlink r:id="rId142" w:anchor="EN" w:history="1">
        <w:r>
          <w:rPr>
            <w:rStyle w:val="Hyperlink"/>
            <w:rFonts w:ascii="Arial" w:hAnsi="Arial" w:cs="Arial"/>
            <w:sz w:val="20"/>
            <w:szCs w:val="20"/>
          </w:rPr>
          <w:t>Explanatory Note</w:t>
        </w:r>
      </w:hyperlink>
      <w:r>
        <w:rPr>
          <w:rFonts w:ascii="Arial" w:hAnsi="Arial" w:cs="Arial"/>
          <w:color w:val="000000"/>
          <w:sz w:val="20"/>
          <w:szCs w:val="20"/>
        </w:rPr>
        <w:t> providing the background for these Directions is also enclosed.</w:t>
      </w:r>
    </w:p>
    <w:p w:rsidR="00C96881" w:rsidRDefault="00C96881" w:rsidP="00C96881">
      <w:pPr>
        <w:pStyle w:val="head"/>
        <w:jc w:val="both"/>
        <w:rPr>
          <w:rFonts w:ascii="Arial" w:hAnsi="Arial" w:cs="Arial"/>
          <w:b/>
          <w:bCs/>
          <w:color w:val="000000"/>
          <w:sz w:val="20"/>
          <w:szCs w:val="20"/>
        </w:rPr>
      </w:pPr>
      <w:r>
        <w:rPr>
          <w:rFonts w:ascii="Arial" w:hAnsi="Arial" w:cs="Arial"/>
          <w:b/>
          <w:bCs/>
          <w:color w:val="000000"/>
          <w:sz w:val="20"/>
          <w:szCs w:val="20"/>
        </w:rPr>
        <w:t>Applicability</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4. This circular is applicable to all commercial banks (excluding Payments Banks and Regional Rural Banks).</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5. These instructions shall come into force from January 1, 2023.</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Yours faithfully,</w:t>
      </w:r>
    </w:p>
    <w:p w:rsidR="00C96881" w:rsidRDefault="00C96881" w:rsidP="00C96881">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C96881" w:rsidRDefault="00C96881" w:rsidP="00C96881">
      <w:pPr>
        <w:rPr>
          <w:rFonts w:ascii="Arial" w:hAnsi="Arial" w:cs="Arial"/>
          <w:sz w:val="20"/>
          <w:szCs w:val="20"/>
        </w:rPr>
      </w:pPr>
    </w:p>
    <w:p w:rsidR="00C96881" w:rsidRDefault="00C96881" w:rsidP="00C96881">
      <w:pPr>
        <w:rPr>
          <w:rFonts w:ascii="Arial" w:hAnsi="Arial" w:cs="Arial"/>
          <w:sz w:val="20"/>
          <w:szCs w:val="20"/>
        </w:rPr>
      </w:pPr>
    </w:p>
    <w:p w:rsidR="00C96881" w:rsidRDefault="00C96881" w:rsidP="00C96881">
      <w:r>
        <w:t>More details can be referred to in the below link.</w:t>
      </w:r>
    </w:p>
    <w:p w:rsidR="00C96881" w:rsidRDefault="00C96881" w:rsidP="00C96881">
      <w:pPr>
        <w:rPr>
          <w:rFonts w:ascii="Arial" w:hAnsi="Arial" w:cs="Arial"/>
          <w:bCs/>
          <w:color w:val="000000"/>
          <w:sz w:val="20"/>
          <w:szCs w:val="20"/>
        </w:rPr>
      </w:pPr>
      <w:r>
        <w:rPr>
          <w:rFonts w:ascii="Arial" w:hAnsi="Arial" w:cs="Arial"/>
          <w:bCs/>
          <w:color w:val="000000"/>
          <w:sz w:val="20"/>
          <w:szCs w:val="20"/>
        </w:rPr>
        <w:t xml:space="preserve">Reference Link: </w:t>
      </w:r>
      <w:hyperlink r:id="rId143" w:history="1">
        <w:r w:rsidRPr="009A1791">
          <w:rPr>
            <w:rStyle w:val="Hyperlink"/>
            <w:rFonts w:ascii="Arial" w:hAnsi="Arial" w:cs="Arial"/>
            <w:bCs/>
            <w:sz w:val="20"/>
            <w:szCs w:val="20"/>
          </w:rPr>
          <w:t>https://rbi.org.in/Scripts/NotificationUser.aspx?Id=12402&amp;Mode=0</w:t>
        </w:r>
      </w:hyperlink>
    </w:p>
    <w:p w:rsidR="00C96881" w:rsidRDefault="00C96881" w:rsidP="00C96881">
      <w:pPr>
        <w:rPr>
          <w:rFonts w:ascii="Arial" w:hAnsi="Arial" w:cs="Arial"/>
          <w:sz w:val="20"/>
          <w:szCs w:val="20"/>
        </w:rPr>
      </w:pPr>
    </w:p>
    <w:p w:rsidR="00C96881" w:rsidRDefault="00C96881" w:rsidP="00C96881">
      <w:pPr>
        <w:rPr>
          <w:rFonts w:ascii="Arial" w:hAnsi="Arial" w:cs="Arial"/>
          <w:sz w:val="20"/>
          <w:szCs w:val="20"/>
        </w:rPr>
      </w:pPr>
    </w:p>
    <w:p w:rsidR="00C96881" w:rsidRDefault="00C96881" w:rsidP="00C96881">
      <w:pPr>
        <w:rPr>
          <w:rFonts w:ascii="Arial" w:hAnsi="Arial" w:cs="Arial"/>
          <w:sz w:val="20"/>
          <w:szCs w:val="20"/>
        </w:rPr>
      </w:pPr>
    </w:p>
    <w:p w:rsidR="00C96881" w:rsidRDefault="00C96881" w:rsidP="00C96881">
      <w:pPr>
        <w:rPr>
          <w:rFonts w:ascii="Arial" w:hAnsi="Arial" w:cs="Arial"/>
          <w:sz w:val="20"/>
          <w:szCs w:val="20"/>
        </w:rPr>
      </w:pPr>
    </w:p>
    <w:p w:rsidR="00C96881" w:rsidRDefault="00C96881" w:rsidP="00C96881">
      <w:pPr>
        <w:rPr>
          <w:rFonts w:ascii="Arial" w:hAnsi="Arial" w:cs="Arial"/>
          <w:sz w:val="20"/>
          <w:szCs w:val="20"/>
        </w:rPr>
      </w:pPr>
    </w:p>
    <w:p w:rsidR="00C96881" w:rsidRDefault="00C96881" w:rsidP="00C96881">
      <w:pPr>
        <w:rPr>
          <w:rFonts w:ascii="Arial" w:hAnsi="Arial" w:cs="Arial"/>
          <w:sz w:val="20"/>
          <w:szCs w:val="20"/>
        </w:rPr>
      </w:pPr>
    </w:p>
    <w:p w:rsidR="00C96881" w:rsidRDefault="00C96881" w:rsidP="00C96881">
      <w:pPr>
        <w:rPr>
          <w:rFonts w:ascii="Arial" w:hAnsi="Arial" w:cs="Arial"/>
          <w:bCs/>
          <w:color w:val="000000"/>
          <w:sz w:val="20"/>
          <w:szCs w:val="20"/>
        </w:rPr>
      </w:pPr>
    </w:p>
    <w:p w:rsidR="00C96881" w:rsidRDefault="00C96881" w:rsidP="00C96881">
      <w:pPr>
        <w:rPr>
          <w:rFonts w:ascii="Arial" w:hAnsi="Arial" w:cs="Arial"/>
          <w:bCs/>
          <w:color w:val="000000"/>
          <w:sz w:val="20"/>
          <w:szCs w:val="20"/>
        </w:rPr>
      </w:pPr>
    </w:p>
    <w:p w:rsidR="00C96881" w:rsidRDefault="00C96881" w:rsidP="00C96881">
      <w:pPr>
        <w:pStyle w:val="NormalWeb"/>
        <w:rPr>
          <w:rFonts w:ascii="Arial" w:hAnsi="Arial" w:cs="Arial"/>
          <w:b/>
          <w:bCs/>
          <w:color w:val="000000"/>
          <w:sz w:val="20"/>
          <w:szCs w:val="20"/>
        </w:rPr>
      </w:pPr>
      <w:r>
        <w:rPr>
          <w:rFonts w:ascii="Arial" w:hAnsi="Arial" w:cs="Arial"/>
          <w:b/>
          <w:bCs/>
          <w:color w:val="000000"/>
          <w:sz w:val="20"/>
          <w:szCs w:val="20"/>
        </w:rPr>
        <w:t>Claims Received from the National Credit Guarantee Trustee Company Ltd (NCGTC) - Classification for the Purpose of Maintenance of Cash Reserve Ratio (CRR)/Statutory Liquidity Ratio (SLR)</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RBI/2022-23/132</w:t>
      </w:r>
      <w:r>
        <w:rPr>
          <w:rFonts w:ascii="Arial" w:hAnsi="Arial" w:cs="Arial"/>
          <w:color w:val="000000"/>
          <w:sz w:val="20"/>
          <w:szCs w:val="20"/>
        </w:rPr>
        <w:br/>
        <w:t>DOR.RET.REC.79/12.01.001/2022-23</w:t>
      </w:r>
    </w:p>
    <w:p w:rsidR="00C96881" w:rsidRDefault="00C96881" w:rsidP="00C96881">
      <w:pPr>
        <w:pStyle w:val="NormalWeb"/>
        <w:jc w:val="right"/>
        <w:rPr>
          <w:rFonts w:ascii="Arial" w:hAnsi="Arial" w:cs="Arial"/>
          <w:color w:val="000000"/>
          <w:sz w:val="20"/>
          <w:szCs w:val="20"/>
        </w:rPr>
      </w:pPr>
      <w:r>
        <w:rPr>
          <w:rFonts w:ascii="Arial" w:hAnsi="Arial" w:cs="Arial"/>
          <w:color w:val="000000"/>
          <w:sz w:val="20"/>
          <w:szCs w:val="20"/>
        </w:rPr>
        <w:t>October 13, 2022</w:t>
      </w:r>
    </w:p>
    <w:p w:rsidR="00C96881" w:rsidRDefault="00C96881" w:rsidP="00C96881">
      <w:pPr>
        <w:pStyle w:val="NormalWeb"/>
        <w:rPr>
          <w:rFonts w:ascii="Arial" w:hAnsi="Arial" w:cs="Arial"/>
          <w:color w:val="000000"/>
          <w:sz w:val="20"/>
          <w:szCs w:val="20"/>
        </w:rPr>
      </w:pPr>
      <w:r>
        <w:rPr>
          <w:rFonts w:ascii="Arial" w:hAnsi="Arial" w:cs="Arial"/>
          <w:color w:val="000000"/>
          <w:sz w:val="20"/>
          <w:szCs w:val="20"/>
        </w:rPr>
        <w:t>All Scheduled Commercial Banks (including Regional Rural Banks)</w:t>
      </w:r>
      <w:r>
        <w:rPr>
          <w:rFonts w:ascii="Arial" w:hAnsi="Arial" w:cs="Arial"/>
          <w:color w:val="000000"/>
          <w:sz w:val="20"/>
          <w:szCs w:val="20"/>
        </w:rPr>
        <w:br/>
        <w:t>Local Area Banks, Small Finance Banks, Payments Banks</w:t>
      </w:r>
      <w:r>
        <w:rPr>
          <w:rFonts w:ascii="Arial" w:hAnsi="Arial" w:cs="Arial"/>
          <w:color w:val="000000"/>
          <w:sz w:val="20"/>
          <w:szCs w:val="20"/>
        </w:rPr>
        <w:br/>
        <w:t>Primary (Urban) Co-operative Banks (UCBs)</w:t>
      </w:r>
      <w:r>
        <w:rPr>
          <w:rFonts w:ascii="Arial" w:hAnsi="Arial" w:cs="Arial"/>
          <w:color w:val="000000"/>
          <w:sz w:val="20"/>
          <w:szCs w:val="20"/>
        </w:rPr>
        <w:br/>
        <w:t>State and Central Co-operative Banks (</w:t>
      </w:r>
      <w:proofErr w:type="spellStart"/>
      <w:r>
        <w:rPr>
          <w:rFonts w:ascii="Arial" w:hAnsi="Arial" w:cs="Arial"/>
          <w:color w:val="000000"/>
          <w:sz w:val="20"/>
          <w:szCs w:val="20"/>
        </w:rPr>
        <w:t>StCBs</w:t>
      </w:r>
      <w:proofErr w:type="spellEnd"/>
      <w:r>
        <w:rPr>
          <w:rFonts w:ascii="Arial" w:hAnsi="Arial" w:cs="Arial"/>
          <w:color w:val="000000"/>
          <w:sz w:val="20"/>
          <w:szCs w:val="20"/>
        </w:rPr>
        <w:t>/CCBs)</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Madam/Dear Sir,</w:t>
      </w:r>
    </w:p>
    <w:p w:rsidR="00C96881" w:rsidRDefault="00C96881" w:rsidP="00C96881">
      <w:pPr>
        <w:pStyle w:val="head"/>
        <w:jc w:val="both"/>
        <w:rPr>
          <w:rFonts w:ascii="Arial" w:hAnsi="Arial" w:cs="Arial"/>
          <w:b/>
          <w:bCs/>
          <w:color w:val="000000"/>
          <w:sz w:val="20"/>
          <w:szCs w:val="20"/>
        </w:rPr>
      </w:pPr>
      <w:r>
        <w:rPr>
          <w:rFonts w:ascii="Arial" w:hAnsi="Arial" w:cs="Arial"/>
          <w:b/>
          <w:bCs/>
          <w:color w:val="000000"/>
          <w:sz w:val="20"/>
          <w:szCs w:val="20"/>
        </w:rPr>
        <w:t>Claims Received from the National Credit Guarantee Trustee Company Ltd (NCGTC) - Classification for the Purpose of Maintenance of Cash Reserve Ratio (CRR)/Statutory Liquidity Ratio (SLR)</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Please refer to para 9 (Liabilities not to be included for NDTL computation) of </w:t>
      </w:r>
      <w:hyperlink r:id="rId144" w:tgtFrame="_blank" w:history="1">
        <w:r>
          <w:rPr>
            <w:rStyle w:val="Hyperlink"/>
            <w:rFonts w:ascii="Arial" w:hAnsi="Arial" w:cs="Arial"/>
            <w:sz w:val="20"/>
            <w:szCs w:val="20"/>
          </w:rPr>
          <w:t>Master Direction on CRR/SLR – 2021 dated July 20, 2021, as amended on April 06, 2022</w:t>
        </w:r>
      </w:hyperlink>
      <w:r>
        <w:rPr>
          <w:rFonts w:ascii="Arial" w:hAnsi="Arial" w:cs="Arial"/>
          <w:color w:val="000000"/>
          <w:sz w:val="20"/>
          <w:szCs w:val="20"/>
        </w:rPr>
        <w:t>.</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2. In this connection, it has been decided that the amounts received by a bank from the National Credit Guarantee Trustee Company Ltd towards claims in respect of guarantees invoked and held by them pending adjustment of the same towards the relative advances, need not be treated as outside liabilities for the purpose of computation of NDTL for CRR and SLR.</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3. Accordingly, para 9 of the Master Direction on CRR/SLR – 2021 will henceforth include “Amount received by the eligible banks from National Credit Guarantee Trustee Company Limited (NCGTC) by invoking the guarantee towards claims and pending adjustments thereof”.</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Yours faithfully</w:t>
      </w:r>
    </w:p>
    <w:p w:rsidR="00C96881" w:rsidRDefault="00C96881" w:rsidP="00C96881">
      <w:pPr>
        <w:pStyle w:val="NormalWeb"/>
        <w:rPr>
          <w:rFonts w:ascii="Arial" w:hAnsi="Arial" w:cs="Arial"/>
          <w:color w:val="000000"/>
          <w:sz w:val="20"/>
          <w:szCs w:val="20"/>
        </w:rPr>
      </w:pPr>
      <w:r>
        <w:rPr>
          <w:rFonts w:ascii="Arial" w:hAnsi="Arial" w:cs="Arial"/>
          <w:color w:val="000000"/>
          <w:sz w:val="20"/>
          <w:szCs w:val="20"/>
        </w:rPr>
        <w:t xml:space="preserve">(Prakash </w:t>
      </w:r>
      <w:proofErr w:type="spellStart"/>
      <w:r>
        <w:rPr>
          <w:rFonts w:ascii="Arial" w:hAnsi="Arial" w:cs="Arial"/>
          <w:color w:val="000000"/>
          <w:sz w:val="20"/>
          <w:szCs w:val="20"/>
        </w:rPr>
        <w:t>Baliarsingh</w:t>
      </w:r>
      <w:proofErr w:type="spellEnd"/>
      <w:r>
        <w:rPr>
          <w:rFonts w:ascii="Arial" w:hAnsi="Arial" w:cs="Arial"/>
          <w:color w:val="000000"/>
          <w:sz w:val="20"/>
          <w:szCs w:val="20"/>
        </w:rPr>
        <w:t>)</w:t>
      </w:r>
      <w:r>
        <w:rPr>
          <w:rFonts w:ascii="Arial" w:hAnsi="Arial" w:cs="Arial"/>
          <w:color w:val="000000"/>
          <w:sz w:val="20"/>
          <w:szCs w:val="20"/>
        </w:rPr>
        <w:br/>
        <w:t>Chief General Manager</w:t>
      </w:r>
    </w:p>
    <w:p w:rsidR="00C96881" w:rsidRDefault="00C96881" w:rsidP="00C96881"/>
    <w:p w:rsidR="00C96881" w:rsidRDefault="00C96881" w:rsidP="00C96881"/>
    <w:p w:rsidR="00C96881" w:rsidRDefault="00C96881" w:rsidP="00C96881">
      <w:r>
        <w:t>More details can be referred to in the below link.</w:t>
      </w:r>
    </w:p>
    <w:p w:rsidR="00C96881" w:rsidRDefault="00C96881" w:rsidP="00C96881">
      <w:pPr>
        <w:pStyle w:val="NormalWeb"/>
        <w:rPr>
          <w:rFonts w:ascii="Arial" w:hAnsi="Arial" w:cs="Arial"/>
          <w:color w:val="000000"/>
          <w:sz w:val="20"/>
          <w:szCs w:val="20"/>
        </w:rPr>
      </w:pPr>
      <w:r>
        <w:rPr>
          <w:rFonts w:ascii="Arial" w:hAnsi="Arial" w:cs="Arial"/>
          <w:bCs/>
          <w:color w:val="000000"/>
          <w:sz w:val="20"/>
          <w:szCs w:val="20"/>
        </w:rPr>
        <w:t xml:space="preserve">Reference Link: </w:t>
      </w:r>
      <w:hyperlink r:id="rId145" w:history="1">
        <w:r w:rsidRPr="006865D6">
          <w:rPr>
            <w:rStyle w:val="Hyperlink"/>
            <w:rFonts w:ascii="Arial" w:hAnsi="Arial" w:cs="Arial"/>
            <w:sz w:val="20"/>
            <w:szCs w:val="20"/>
          </w:rPr>
          <w:t>https://www.rbi.org.in/scripts/FS_Notification.aspx?Id=12403&amp;fn=2&amp;Mode=0</w:t>
        </w:r>
      </w:hyperlink>
    </w:p>
    <w:p w:rsidR="00C96881" w:rsidRDefault="00C96881" w:rsidP="00C96881">
      <w:pPr>
        <w:pStyle w:val="NormalWeb"/>
        <w:rPr>
          <w:rFonts w:ascii="Arial" w:hAnsi="Arial" w:cs="Arial"/>
          <w:color w:val="000000"/>
          <w:sz w:val="20"/>
          <w:szCs w:val="20"/>
        </w:rPr>
      </w:pPr>
    </w:p>
    <w:p w:rsidR="00C96881" w:rsidRDefault="00C96881" w:rsidP="00C96881">
      <w:pPr>
        <w:pStyle w:val="NormalWeb"/>
        <w:rPr>
          <w:rFonts w:ascii="Arial" w:hAnsi="Arial" w:cs="Arial"/>
          <w:color w:val="000000"/>
          <w:sz w:val="20"/>
          <w:szCs w:val="20"/>
        </w:rPr>
      </w:pPr>
    </w:p>
    <w:p w:rsidR="00C96881" w:rsidRDefault="00C96881" w:rsidP="00C96881">
      <w:pPr>
        <w:pStyle w:val="NormalWeb"/>
        <w:rPr>
          <w:rFonts w:ascii="Arial" w:hAnsi="Arial" w:cs="Arial"/>
          <w:color w:val="000000"/>
          <w:sz w:val="20"/>
          <w:szCs w:val="20"/>
        </w:rPr>
      </w:pPr>
    </w:p>
    <w:p w:rsidR="00C96881" w:rsidRDefault="00C96881" w:rsidP="00C96881">
      <w:pPr>
        <w:pStyle w:val="NormalWeb"/>
        <w:rPr>
          <w:rFonts w:ascii="Arial" w:hAnsi="Arial" w:cs="Arial"/>
          <w:color w:val="000000"/>
          <w:sz w:val="20"/>
          <w:szCs w:val="20"/>
        </w:rPr>
      </w:pPr>
    </w:p>
    <w:p w:rsidR="00C96881" w:rsidRDefault="00C96881" w:rsidP="00C96881">
      <w:pPr>
        <w:pStyle w:val="NormalWeb"/>
        <w:rPr>
          <w:rFonts w:ascii="Arial" w:hAnsi="Arial" w:cs="Arial"/>
          <w:b/>
          <w:color w:val="000000"/>
          <w:sz w:val="20"/>
          <w:szCs w:val="20"/>
        </w:rPr>
      </w:pPr>
    </w:p>
    <w:p w:rsidR="00C96881" w:rsidRDefault="00C96881" w:rsidP="00C96881">
      <w:pPr>
        <w:rPr>
          <w:rFonts w:ascii="Arial" w:hAnsi="Arial" w:cs="Arial"/>
          <w:bCs/>
          <w:color w:val="000000"/>
          <w:sz w:val="20"/>
          <w:szCs w:val="20"/>
        </w:rPr>
      </w:pPr>
    </w:p>
    <w:p w:rsidR="00C96881" w:rsidRDefault="00C96881" w:rsidP="00C96881">
      <w:pPr>
        <w:pStyle w:val="NormalWeb"/>
        <w:rPr>
          <w:rFonts w:ascii="Arial" w:hAnsi="Arial" w:cs="Arial"/>
          <w:b/>
          <w:bCs/>
          <w:color w:val="000000"/>
          <w:sz w:val="20"/>
          <w:szCs w:val="20"/>
        </w:rPr>
      </w:pPr>
      <w:r>
        <w:rPr>
          <w:rFonts w:ascii="Arial" w:hAnsi="Arial" w:cs="Arial"/>
          <w:b/>
          <w:bCs/>
          <w:color w:val="000000"/>
          <w:sz w:val="20"/>
          <w:szCs w:val="20"/>
        </w:rPr>
        <w:t>Eligibility Criteria for offering Internet Banking Facility by Regional Rural Banks, 2022</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RBI/2022-23/135</w:t>
      </w:r>
      <w:r>
        <w:rPr>
          <w:rFonts w:ascii="Arial" w:hAnsi="Arial" w:cs="Arial"/>
          <w:color w:val="000000"/>
          <w:sz w:val="20"/>
          <w:szCs w:val="20"/>
        </w:rPr>
        <w:br/>
        <w:t>DoR.AUT.REC.81/24.01.001/2022-23</w:t>
      </w:r>
    </w:p>
    <w:p w:rsidR="00C96881" w:rsidRDefault="00C96881" w:rsidP="00C96881">
      <w:pPr>
        <w:pStyle w:val="NormalWeb"/>
        <w:jc w:val="right"/>
        <w:rPr>
          <w:rFonts w:ascii="Arial" w:hAnsi="Arial" w:cs="Arial"/>
          <w:color w:val="000000"/>
          <w:sz w:val="20"/>
          <w:szCs w:val="20"/>
        </w:rPr>
      </w:pPr>
      <w:r>
        <w:rPr>
          <w:rFonts w:ascii="Arial" w:hAnsi="Arial" w:cs="Arial"/>
          <w:color w:val="000000"/>
          <w:sz w:val="20"/>
          <w:szCs w:val="20"/>
        </w:rPr>
        <w:t>November 01, 2022</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Madam / Sir,</w:t>
      </w:r>
    </w:p>
    <w:p w:rsidR="00C96881" w:rsidRDefault="00C96881" w:rsidP="00C96881">
      <w:pPr>
        <w:pStyle w:val="head"/>
        <w:jc w:val="center"/>
        <w:rPr>
          <w:rFonts w:ascii="Arial" w:hAnsi="Arial" w:cs="Arial"/>
          <w:b/>
          <w:bCs/>
          <w:color w:val="000000"/>
          <w:sz w:val="20"/>
          <w:szCs w:val="20"/>
        </w:rPr>
      </w:pPr>
      <w:r>
        <w:rPr>
          <w:rFonts w:ascii="Arial" w:hAnsi="Arial" w:cs="Arial"/>
          <w:b/>
          <w:bCs/>
          <w:color w:val="000000"/>
          <w:sz w:val="20"/>
          <w:szCs w:val="20"/>
        </w:rPr>
        <w:t>Eligibility Criteria for offering Internet Banking Facility by Regional Rural Banks, 2022</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In exercise of the powers conferred by Sections 35A of the Banking Regulation Act, 1949, the Reserve Bank of India being satisfied that it is necessary and expedient in the public interest so to do, hereby, amends the instructions issued vide </w:t>
      </w:r>
      <w:hyperlink r:id="rId146" w:tgtFrame="_blank" w:history="1">
        <w:r>
          <w:rPr>
            <w:rStyle w:val="Hyperlink"/>
            <w:rFonts w:ascii="Arial" w:hAnsi="Arial" w:cs="Arial"/>
            <w:sz w:val="20"/>
            <w:szCs w:val="20"/>
          </w:rPr>
          <w:t>circular DBR.RRB.BC.No.59/31.01.001/2015-16 dated November 19, 2015</w:t>
        </w:r>
      </w:hyperlink>
      <w:r>
        <w:rPr>
          <w:rFonts w:ascii="Arial" w:hAnsi="Arial" w:cs="Arial"/>
          <w:color w:val="000000"/>
          <w:sz w:val="20"/>
          <w:szCs w:val="20"/>
        </w:rPr>
        <w:t> on ‘Internet Banking Facility for Customers of Regional Rural Banks’.</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Keeping in view the need to promote the spread of digital banking for customers in rural areas, the eligibility criteria applicable to Regional Rural Banks for offering Internet Banking with transactional facility to their customers have been revised, the details of which are enclosed in the </w:t>
      </w:r>
      <w:hyperlink r:id="rId147" w:anchor="AN" w:history="1">
        <w:r>
          <w:rPr>
            <w:rStyle w:val="Hyperlink"/>
            <w:rFonts w:ascii="Arial" w:hAnsi="Arial" w:cs="Arial"/>
            <w:sz w:val="20"/>
            <w:szCs w:val="20"/>
          </w:rPr>
          <w:t>Annex</w:t>
        </w:r>
      </w:hyperlink>
      <w:r>
        <w:rPr>
          <w:rFonts w:ascii="Arial" w:hAnsi="Arial" w:cs="Arial"/>
          <w:color w:val="000000"/>
          <w:sz w:val="20"/>
          <w:szCs w:val="20"/>
        </w:rPr>
        <w:t>.</w:t>
      </w:r>
    </w:p>
    <w:p w:rsidR="00C96881" w:rsidRDefault="00C96881" w:rsidP="00C96881">
      <w:pPr>
        <w:pStyle w:val="head"/>
        <w:jc w:val="both"/>
        <w:rPr>
          <w:rFonts w:ascii="Arial" w:hAnsi="Arial" w:cs="Arial"/>
          <w:b/>
          <w:bCs/>
          <w:color w:val="000000"/>
          <w:sz w:val="20"/>
          <w:szCs w:val="20"/>
        </w:rPr>
      </w:pPr>
      <w:r>
        <w:rPr>
          <w:rFonts w:ascii="Arial" w:hAnsi="Arial" w:cs="Arial"/>
          <w:b/>
          <w:bCs/>
          <w:color w:val="000000"/>
          <w:sz w:val="20"/>
          <w:szCs w:val="20"/>
        </w:rPr>
        <w:t>2. Commencement</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The circular comes into force from November 01, 2022.</w:t>
      </w:r>
    </w:p>
    <w:p w:rsidR="00C96881" w:rsidRDefault="00C96881" w:rsidP="00C96881">
      <w:pPr>
        <w:pStyle w:val="head"/>
        <w:jc w:val="both"/>
        <w:rPr>
          <w:rFonts w:ascii="Arial" w:hAnsi="Arial" w:cs="Arial"/>
          <w:b/>
          <w:bCs/>
          <w:color w:val="000000"/>
          <w:sz w:val="20"/>
          <w:szCs w:val="20"/>
        </w:rPr>
      </w:pPr>
      <w:r>
        <w:rPr>
          <w:rFonts w:ascii="Arial" w:hAnsi="Arial" w:cs="Arial"/>
          <w:b/>
          <w:bCs/>
          <w:color w:val="000000"/>
          <w:sz w:val="20"/>
          <w:szCs w:val="20"/>
        </w:rPr>
        <w:t>3. Applicability</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This circular is applicable to all Regional Rural Banks (RRBs).</w:t>
      </w:r>
    </w:p>
    <w:p w:rsidR="00C96881" w:rsidRDefault="00C96881" w:rsidP="00C96881">
      <w:pPr>
        <w:pStyle w:val="NormalWeb"/>
        <w:rPr>
          <w:rFonts w:ascii="Arial" w:hAnsi="Arial" w:cs="Arial"/>
          <w:color w:val="000000"/>
          <w:sz w:val="20"/>
          <w:szCs w:val="20"/>
        </w:rPr>
      </w:pPr>
      <w:r>
        <w:rPr>
          <w:rFonts w:ascii="Arial" w:hAnsi="Arial" w:cs="Arial"/>
          <w:color w:val="000000"/>
          <w:sz w:val="20"/>
          <w:szCs w:val="20"/>
        </w:rPr>
        <w:t xml:space="preserve">(Prakash </w:t>
      </w:r>
      <w:proofErr w:type="spellStart"/>
      <w:r>
        <w:rPr>
          <w:rFonts w:ascii="Arial" w:hAnsi="Arial" w:cs="Arial"/>
          <w:color w:val="000000"/>
          <w:sz w:val="20"/>
          <w:szCs w:val="20"/>
        </w:rPr>
        <w:t>Baliarsingh</w:t>
      </w:r>
      <w:proofErr w:type="spellEnd"/>
      <w:r>
        <w:rPr>
          <w:rFonts w:ascii="Arial" w:hAnsi="Arial" w:cs="Arial"/>
          <w:color w:val="000000"/>
          <w:sz w:val="20"/>
          <w:szCs w:val="20"/>
        </w:rPr>
        <w:t>)</w:t>
      </w:r>
      <w:r>
        <w:rPr>
          <w:rFonts w:ascii="Arial" w:hAnsi="Arial" w:cs="Arial"/>
          <w:color w:val="000000"/>
          <w:sz w:val="20"/>
          <w:szCs w:val="20"/>
        </w:rPr>
        <w:br/>
        <w:t>Chief General Manager</w:t>
      </w:r>
    </w:p>
    <w:p w:rsidR="00C96881" w:rsidRDefault="00C96881" w:rsidP="00C96881">
      <w:pPr>
        <w:pStyle w:val="NormalWeb"/>
        <w:rPr>
          <w:rFonts w:ascii="Arial" w:hAnsi="Arial" w:cs="Arial"/>
          <w:b/>
          <w:bCs/>
          <w:color w:val="000000"/>
          <w:sz w:val="20"/>
          <w:szCs w:val="20"/>
        </w:rPr>
      </w:pPr>
    </w:p>
    <w:p w:rsidR="00C96881" w:rsidRDefault="00C96881" w:rsidP="00C96881">
      <w:pPr>
        <w:pStyle w:val="NormalWeb"/>
        <w:rPr>
          <w:rFonts w:ascii="Arial" w:hAnsi="Arial" w:cs="Arial"/>
          <w:b/>
          <w:bCs/>
          <w:color w:val="000000"/>
          <w:sz w:val="20"/>
          <w:szCs w:val="20"/>
        </w:rPr>
      </w:pPr>
    </w:p>
    <w:p w:rsidR="00C96881" w:rsidRDefault="00C96881" w:rsidP="00C96881">
      <w:pPr>
        <w:pStyle w:val="NormalWeb"/>
        <w:rPr>
          <w:rFonts w:ascii="Arial" w:hAnsi="Arial" w:cs="Arial"/>
          <w:b/>
          <w:bCs/>
          <w:color w:val="000000"/>
          <w:sz w:val="20"/>
          <w:szCs w:val="20"/>
        </w:rPr>
      </w:pPr>
    </w:p>
    <w:p w:rsidR="00C96881" w:rsidRDefault="00C96881" w:rsidP="00C96881">
      <w:r>
        <w:t>More details can be referred to in the below link.</w:t>
      </w:r>
    </w:p>
    <w:p w:rsidR="00C96881" w:rsidRDefault="00C96881" w:rsidP="00C96881">
      <w:pPr>
        <w:pStyle w:val="NormalWeb"/>
        <w:rPr>
          <w:rFonts w:ascii="Arial" w:hAnsi="Arial" w:cs="Arial"/>
          <w:bCs/>
          <w:color w:val="000000"/>
          <w:sz w:val="20"/>
          <w:szCs w:val="20"/>
        </w:rPr>
      </w:pPr>
      <w:r>
        <w:rPr>
          <w:rFonts w:ascii="Arial" w:hAnsi="Arial" w:cs="Arial"/>
          <w:bCs/>
          <w:color w:val="000000"/>
          <w:sz w:val="20"/>
          <w:szCs w:val="20"/>
        </w:rPr>
        <w:t>Reference Link:</w:t>
      </w:r>
      <w:r>
        <w:rPr>
          <w:rFonts w:ascii="Arial" w:hAnsi="Arial" w:cs="Arial"/>
          <w:b/>
          <w:bCs/>
          <w:color w:val="000000"/>
          <w:sz w:val="20"/>
          <w:szCs w:val="20"/>
        </w:rPr>
        <w:t xml:space="preserve"> </w:t>
      </w:r>
      <w:hyperlink r:id="rId148" w:history="1">
        <w:r w:rsidRPr="00996689">
          <w:rPr>
            <w:rStyle w:val="Hyperlink"/>
            <w:rFonts w:ascii="Arial" w:hAnsi="Arial" w:cs="Arial"/>
            <w:bCs/>
            <w:sz w:val="20"/>
            <w:szCs w:val="20"/>
          </w:rPr>
          <w:t>https://www.rbi.org.in/scripts/FS_Notification.aspx?Id=12407&amp;fn=2&amp;Mode=0</w:t>
        </w:r>
      </w:hyperlink>
    </w:p>
    <w:p w:rsidR="00C96881" w:rsidRPr="00ED4725" w:rsidRDefault="00C96881" w:rsidP="00C96881">
      <w:pPr>
        <w:pStyle w:val="NormalWeb"/>
        <w:rPr>
          <w:rFonts w:ascii="Arial" w:hAnsi="Arial" w:cs="Arial"/>
          <w:bCs/>
          <w:color w:val="000000"/>
          <w:sz w:val="20"/>
          <w:szCs w:val="20"/>
        </w:rPr>
      </w:pPr>
    </w:p>
    <w:p w:rsidR="00C96881" w:rsidRDefault="00C96881" w:rsidP="00C96881">
      <w:pPr>
        <w:pStyle w:val="NormalWeb"/>
        <w:rPr>
          <w:rFonts w:ascii="Arial" w:hAnsi="Arial" w:cs="Arial"/>
          <w:b/>
          <w:bCs/>
          <w:color w:val="000000"/>
          <w:sz w:val="20"/>
          <w:szCs w:val="20"/>
        </w:rPr>
      </w:pPr>
    </w:p>
    <w:p w:rsidR="00C96881" w:rsidRDefault="00C96881" w:rsidP="00C96881">
      <w:pPr>
        <w:pStyle w:val="NormalWeb"/>
        <w:rPr>
          <w:rFonts w:ascii="Arial" w:hAnsi="Arial" w:cs="Arial"/>
          <w:b/>
          <w:bCs/>
          <w:color w:val="000000"/>
          <w:sz w:val="20"/>
          <w:szCs w:val="20"/>
        </w:rPr>
      </w:pPr>
    </w:p>
    <w:p w:rsidR="00C96881" w:rsidRDefault="00C96881" w:rsidP="00C96881">
      <w:pPr>
        <w:pStyle w:val="NormalWeb"/>
        <w:rPr>
          <w:rFonts w:ascii="Arial" w:hAnsi="Arial" w:cs="Arial"/>
          <w:b/>
          <w:bCs/>
          <w:color w:val="000000"/>
          <w:sz w:val="20"/>
          <w:szCs w:val="20"/>
        </w:rPr>
      </w:pPr>
    </w:p>
    <w:p w:rsidR="00C96881" w:rsidRDefault="00C96881" w:rsidP="00C96881">
      <w:pPr>
        <w:pStyle w:val="NormalWeb"/>
        <w:rPr>
          <w:rFonts w:ascii="Arial" w:hAnsi="Arial" w:cs="Arial"/>
          <w:b/>
          <w:bCs/>
          <w:color w:val="000000"/>
          <w:sz w:val="20"/>
          <w:szCs w:val="20"/>
        </w:rPr>
      </w:pPr>
    </w:p>
    <w:p w:rsidR="00C96881" w:rsidRDefault="00C96881" w:rsidP="00C96881">
      <w:pPr>
        <w:pStyle w:val="NormalWeb"/>
        <w:rPr>
          <w:rFonts w:ascii="Arial" w:hAnsi="Arial" w:cs="Arial"/>
          <w:b/>
          <w:bCs/>
          <w:color w:val="000000"/>
          <w:sz w:val="20"/>
          <w:szCs w:val="20"/>
        </w:rPr>
      </w:pPr>
    </w:p>
    <w:p w:rsidR="00C96881" w:rsidRDefault="00C96881" w:rsidP="0001090D">
      <w:pPr>
        <w:rPr>
          <w:rFonts w:ascii="Arial" w:hAnsi="Arial" w:cs="Arial"/>
          <w:bCs/>
          <w:color w:val="000000"/>
          <w:sz w:val="20"/>
          <w:szCs w:val="20"/>
        </w:rPr>
      </w:pPr>
    </w:p>
    <w:p w:rsidR="00C96881" w:rsidRDefault="00C96881" w:rsidP="00C96881">
      <w:pPr>
        <w:pStyle w:val="NormalWeb"/>
        <w:rPr>
          <w:rFonts w:ascii="Arial" w:hAnsi="Arial" w:cs="Arial"/>
          <w:b/>
          <w:color w:val="000000"/>
          <w:sz w:val="20"/>
          <w:szCs w:val="20"/>
        </w:rPr>
      </w:pPr>
      <w:r w:rsidRPr="0085415B">
        <w:rPr>
          <w:rFonts w:ascii="Arial" w:hAnsi="Arial" w:cs="Arial"/>
          <w:b/>
          <w:color w:val="000000"/>
          <w:sz w:val="20"/>
          <w:szCs w:val="20"/>
        </w:rPr>
        <w:t>Agency Commission for Direct Tax collection under TIN 2.0 regime</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RBI/2022-23/136</w:t>
      </w:r>
      <w:r>
        <w:rPr>
          <w:rFonts w:ascii="Arial" w:hAnsi="Arial" w:cs="Arial"/>
          <w:color w:val="000000"/>
          <w:sz w:val="20"/>
          <w:szCs w:val="20"/>
        </w:rPr>
        <w:br/>
        <w:t>CO.DGBA.GBD.No.S957/43-33-005/2022-2023</w:t>
      </w:r>
    </w:p>
    <w:p w:rsidR="00C96881" w:rsidRDefault="00C96881" w:rsidP="00C96881">
      <w:pPr>
        <w:pStyle w:val="NormalWeb"/>
        <w:jc w:val="right"/>
        <w:rPr>
          <w:rFonts w:ascii="Arial" w:hAnsi="Arial" w:cs="Arial"/>
          <w:color w:val="000000"/>
          <w:sz w:val="20"/>
          <w:szCs w:val="20"/>
        </w:rPr>
      </w:pPr>
      <w:r>
        <w:rPr>
          <w:rFonts w:ascii="Arial" w:hAnsi="Arial" w:cs="Arial"/>
          <w:color w:val="000000"/>
          <w:sz w:val="20"/>
          <w:szCs w:val="20"/>
        </w:rPr>
        <w:t>November 14, 2022</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All Agency banks (authorised to collect direct taxes)</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Madam / Dear Sir</w:t>
      </w:r>
    </w:p>
    <w:p w:rsidR="00C96881" w:rsidRDefault="00C96881" w:rsidP="00C96881">
      <w:pPr>
        <w:pStyle w:val="head"/>
        <w:jc w:val="both"/>
        <w:rPr>
          <w:rFonts w:ascii="Arial" w:hAnsi="Arial" w:cs="Arial"/>
          <w:b/>
          <w:bCs/>
          <w:color w:val="000000"/>
          <w:sz w:val="20"/>
          <w:szCs w:val="20"/>
        </w:rPr>
      </w:pPr>
      <w:r>
        <w:rPr>
          <w:rFonts w:ascii="Arial" w:hAnsi="Arial" w:cs="Arial"/>
          <w:b/>
          <w:bCs/>
          <w:color w:val="000000"/>
          <w:sz w:val="20"/>
          <w:szCs w:val="20"/>
        </w:rPr>
        <w:t>Agency Commission for Direct Tax collection under TIN 2.0 regime</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Please refer to Para 21 of our </w:t>
      </w:r>
      <w:hyperlink r:id="rId149" w:tgtFrame="_blank" w:history="1">
        <w:r>
          <w:rPr>
            <w:rStyle w:val="Hyperlink"/>
            <w:rFonts w:ascii="Arial" w:hAnsi="Arial" w:cs="Arial"/>
            <w:sz w:val="20"/>
            <w:szCs w:val="20"/>
          </w:rPr>
          <w:t>Master Circular on Conduct of Government Business by Agency Banks - Payment of Agency Commission dated April 1, 2022</w:t>
        </w:r>
      </w:hyperlink>
      <w:r>
        <w:rPr>
          <w:rFonts w:ascii="Arial" w:hAnsi="Arial" w:cs="Arial"/>
          <w:color w:val="000000"/>
          <w:sz w:val="20"/>
          <w:szCs w:val="20"/>
        </w:rPr>
        <w:t> related to claiming of agency commission.</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2. After implementation of TIN 2.0 regime for collection of direct taxes, it has been decided to modify paragraph 21 of the captioned Master Circular. The modified paragraph 21 will read as follows:</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“Agency banks are required to submit their claims for agency commission in the prescribed format to CAS Nagpur in respect of Central government transactions and the respective Regional Office of Reserve Bank of India for State government transactions. However, agency commission claims with respect to GST receipt transactions </w:t>
      </w:r>
      <w:r>
        <w:rPr>
          <w:rFonts w:ascii="Arial" w:hAnsi="Arial" w:cs="Arial"/>
          <w:color w:val="000000"/>
          <w:sz w:val="20"/>
          <w:szCs w:val="20"/>
          <w:u w:val="single"/>
        </w:rPr>
        <w:t>and transactions related to direct tax collection under TIN 2.0 regime</w:t>
      </w:r>
      <w:r>
        <w:rPr>
          <w:rFonts w:ascii="Arial" w:hAnsi="Arial" w:cs="Arial"/>
          <w:color w:val="000000"/>
          <w:sz w:val="20"/>
          <w:szCs w:val="20"/>
        </w:rPr>
        <w:t> will be settled at Mumbai Regional Office of Reserve Bank of India only and accordingly all agency banks, authorized to collect GST </w:t>
      </w:r>
      <w:r>
        <w:rPr>
          <w:rFonts w:ascii="Arial" w:hAnsi="Arial" w:cs="Arial"/>
          <w:color w:val="000000"/>
          <w:sz w:val="20"/>
          <w:szCs w:val="20"/>
          <w:u w:val="single"/>
        </w:rPr>
        <w:t>and direct tax collection under TIN 2.0</w:t>
      </w:r>
      <w:r>
        <w:rPr>
          <w:rFonts w:ascii="Arial" w:hAnsi="Arial" w:cs="Arial"/>
          <w:color w:val="000000"/>
          <w:sz w:val="20"/>
          <w:szCs w:val="20"/>
        </w:rPr>
        <w:t>, are advised to submit their agency commission claims pertaining to </w:t>
      </w:r>
      <w:r>
        <w:rPr>
          <w:rFonts w:ascii="Arial" w:hAnsi="Arial" w:cs="Arial"/>
          <w:color w:val="000000"/>
          <w:sz w:val="20"/>
          <w:szCs w:val="20"/>
          <w:u w:val="single"/>
        </w:rPr>
        <w:t>the respective</w:t>
      </w:r>
      <w:r>
        <w:rPr>
          <w:rFonts w:ascii="Arial" w:hAnsi="Arial" w:cs="Arial"/>
          <w:color w:val="000000"/>
          <w:sz w:val="20"/>
          <w:szCs w:val="20"/>
        </w:rPr>
        <w:t> receipt transactions at Mumbai Regional Office only. </w:t>
      </w:r>
      <w:r>
        <w:rPr>
          <w:rFonts w:ascii="Arial" w:hAnsi="Arial" w:cs="Arial"/>
          <w:color w:val="000000"/>
          <w:sz w:val="20"/>
          <w:szCs w:val="20"/>
          <w:u w:val="single"/>
        </w:rPr>
        <w:t>The agency commission for transactions related to direct tax under OLTAS will be continued to be settled at CAS, Nagpur, RBI.</w:t>
      </w:r>
      <w:r>
        <w:rPr>
          <w:rFonts w:ascii="Arial" w:hAnsi="Arial" w:cs="Arial"/>
          <w:color w:val="000000"/>
          <w:sz w:val="20"/>
          <w:szCs w:val="20"/>
        </w:rPr>
        <w:t> The formats for claiming agency commission for all agency banks and separate and distinctive set of certificates to be signed by the branch officials and Chartered Accountants or Cost Accountants are given in Annex 2, Annex 2A and Annex 2B respectively. These certificates would be in addition to the usual Certificate from ED / CGM (in charge of government business) to the effect that there are no pension arrears to be credited / delays in crediting regular pension / arrears thereof.”</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3. All other instructions of the said Master Circular remain unchanged.</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Yours faithfully</w:t>
      </w:r>
    </w:p>
    <w:p w:rsidR="00C96881" w:rsidRDefault="00C96881" w:rsidP="00C96881">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Indranil</w:t>
      </w:r>
      <w:proofErr w:type="spellEnd"/>
      <w:r>
        <w:rPr>
          <w:rFonts w:ascii="Arial" w:hAnsi="Arial" w:cs="Arial"/>
          <w:color w:val="000000"/>
          <w:sz w:val="20"/>
          <w:szCs w:val="20"/>
        </w:rPr>
        <w:t xml:space="preserve"> Chakraborty)</w:t>
      </w:r>
      <w:r>
        <w:rPr>
          <w:rFonts w:ascii="Arial" w:hAnsi="Arial" w:cs="Arial"/>
          <w:color w:val="000000"/>
          <w:sz w:val="20"/>
          <w:szCs w:val="20"/>
        </w:rPr>
        <w:br/>
        <w:t>Chief General Manager</w:t>
      </w:r>
    </w:p>
    <w:p w:rsidR="00C96881" w:rsidRDefault="00C96881" w:rsidP="00C96881">
      <w:pPr>
        <w:pStyle w:val="NormalWeb"/>
        <w:rPr>
          <w:rFonts w:ascii="Arial" w:hAnsi="Arial" w:cs="Arial"/>
          <w:color w:val="000000"/>
          <w:sz w:val="20"/>
          <w:szCs w:val="20"/>
        </w:rPr>
      </w:pPr>
    </w:p>
    <w:p w:rsidR="00C96881" w:rsidRDefault="00C96881" w:rsidP="00C96881"/>
    <w:p w:rsidR="00C96881" w:rsidRDefault="00C96881" w:rsidP="00C96881">
      <w:r>
        <w:t>More details can be referred to in the below link.</w:t>
      </w:r>
    </w:p>
    <w:p w:rsidR="00C96881" w:rsidRDefault="00C96881" w:rsidP="00C96881">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50" w:history="1">
        <w:r w:rsidRPr="006865D6">
          <w:rPr>
            <w:rStyle w:val="Hyperlink"/>
            <w:rFonts w:ascii="Arial" w:hAnsi="Arial" w:cs="Arial"/>
            <w:bCs/>
            <w:sz w:val="20"/>
            <w:szCs w:val="20"/>
          </w:rPr>
          <w:t>https://www.rbi.org.in/Scripts/NotificationUser.aspx?Id=12408&amp;Mode=0</w:t>
        </w:r>
      </w:hyperlink>
    </w:p>
    <w:p w:rsidR="00C96881" w:rsidRDefault="00C96881" w:rsidP="00C96881">
      <w:pPr>
        <w:pStyle w:val="NormalWeb"/>
        <w:rPr>
          <w:rFonts w:ascii="Arial" w:hAnsi="Arial" w:cs="Arial"/>
          <w:bCs/>
          <w:color w:val="000000"/>
          <w:sz w:val="20"/>
          <w:szCs w:val="20"/>
        </w:rPr>
      </w:pPr>
    </w:p>
    <w:p w:rsidR="00C96881" w:rsidRDefault="00C96881" w:rsidP="00C96881">
      <w:pPr>
        <w:pStyle w:val="NormalWeb"/>
        <w:rPr>
          <w:rFonts w:ascii="Arial" w:hAnsi="Arial" w:cs="Arial"/>
          <w:bCs/>
          <w:color w:val="000000"/>
          <w:sz w:val="20"/>
          <w:szCs w:val="20"/>
        </w:rPr>
      </w:pPr>
    </w:p>
    <w:p w:rsidR="00C96881" w:rsidRDefault="00C96881" w:rsidP="00C96881">
      <w:pPr>
        <w:pStyle w:val="NormalWeb"/>
        <w:rPr>
          <w:rFonts w:ascii="Arial" w:hAnsi="Arial" w:cs="Arial"/>
          <w:bCs/>
          <w:color w:val="000000"/>
          <w:sz w:val="20"/>
          <w:szCs w:val="20"/>
        </w:rPr>
      </w:pPr>
    </w:p>
    <w:p w:rsidR="00C96881" w:rsidRDefault="00C96881" w:rsidP="0001090D">
      <w:pPr>
        <w:rPr>
          <w:rFonts w:ascii="Arial" w:hAnsi="Arial" w:cs="Arial"/>
          <w:bCs/>
          <w:color w:val="000000"/>
          <w:sz w:val="20"/>
          <w:szCs w:val="20"/>
        </w:rPr>
      </w:pPr>
    </w:p>
    <w:p w:rsidR="00C96881" w:rsidRDefault="00C96881" w:rsidP="00C96881">
      <w:pPr>
        <w:pStyle w:val="NormalWeb"/>
        <w:rPr>
          <w:rFonts w:ascii="Arial" w:hAnsi="Arial" w:cs="Arial"/>
          <w:b/>
          <w:bCs/>
          <w:color w:val="000000"/>
          <w:sz w:val="20"/>
          <w:szCs w:val="20"/>
        </w:rPr>
      </w:pPr>
      <w:r>
        <w:rPr>
          <w:rFonts w:ascii="Arial" w:hAnsi="Arial" w:cs="Arial"/>
          <w:b/>
          <w:bCs/>
          <w:color w:val="000000"/>
          <w:sz w:val="20"/>
          <w:szCs w:val="20"/>
        </w:rPr>
        <w:t xml:space="preserve">Modified Interest Subvention Scheme for Short Term Loans for Agriculture and Allied Activities availed through </w:t>
      </w:r>
      <w:proofErr w:type="spellStart"/>
      <w:r>
        <w:rPr>
          <w:rFonts w:ascii="Arial" w:hAnsi="Arial" w:cs="Arial"/>
          <w:b/>
          <w:bCs/>
          <w:color w:val="000000"/>
          <w:sz w:val="20"/>
          <w:szCs w:val="20"/>
        </w:rPr>
        <w:t>Kisan</w:t>
      </w:r>
      <w:proofErr w:type="spellEnd"/>
      <w:r>
        <w:rPr>
          <w:rFonts w:ascii="Arial" w:hAnsi="Arial" w:cs="Arial"/>
          <w:b/>
          <w:bCs/>
          <w:color w:val="000000"/>
          <w:sz w:val="20"/>
          <w:szCs w:val="20"/>
        </w:rPr>
        <w:t xml:space="preserve"> Credit Card (KCC) during the financial years 2022-23 and 2023-24</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RBI/2022-23/139</w:t>
      </w:r>
      <w:r>
        <w:rPr>
          <w:rFonts w:ascii="Arial" w:hAnsi="Arial" w:cs="Arial"/>
          <w:color w:val="000000"/>
          <w:sz w:val="20"/>
          <w:szCs w:val="20"/>
        </w:rPr>
        <w:br/>
        <w:t>FIDD.CO.FSD.BC.No.13/05.02.001/2022-23</w:t>
      </w:r>
    </w:p>
    <w:p w:rsidR="00C96881" w:rsidRDefault="00C96881" w:rsidP="00C96881">
      <w:pPr>
        <w:pStyle w:val="NormalWeb"/>
        <w:jc w:val="right"/>
        <w:rPr>
          <w:rFonts w:ascii="Arial" w:hAnsi="Arial" w:cs="Arial"/>
          <w:color w:val="000000"/>
          <w:sz w:val="20"/>
          <w:szCs w:val="20"/>
        </w:rPr>
      </w:pPr>
      <w:r>
        <w:rPr>
          <w:rFonts w:ascii="Arial" w:hAnsi="Arial" w:cs="Arial"/>
          <w:color w:val="000000"/>
          <w:sz w:val="20"/>
          <w:szCs w:val="20"/>
        </w:rPr>
        <w:t>November 23, 2022</w:t>
      </w:r>
    </w:p>
    <w:p w:rsidR="00C96881" w:rsidRDefault="00C96881" w:rsidP="00C96881">
      <w:pPr>
        <w:pStyle w:val="NormalWeb"/>
        <w:rPr>
          <w:rFonts w:ascii="Arial" w:hAnsi="Arial" w:cs="Arial"/>
          <w:color w:val="000000"/>
          <w:sz w:val="20"/>
          <w:szCs w:val="20"/>
        </w:rPr>
      </w:pPr>
      <w:r>
        <w:rPr>
          <w:rFonts w:ascii="Arial" w:hAnsi="Arial" w:cs="Arial"/>
          <w:color w:val="000000"/>
          <w:sz w:val="20"/>
          <w:szCs w:val="20"/>
        </w:rPr>
        <w:t>The Chairman/Managing Director/Chief Executive Officer</w:t>
      </w:r>
      <w:r>
        <w:rPr>
          <w:rFonts w:ascii="Arial" w:hAnsi="Arial" w:cs="Arial"/>
          <w:color w:val="000000"/>
          <w:sz w:val="20"/>
          <w:szCs w:val="20"/>
        </w:rPr>
        <w:br/>
        <w:t>All Public Sector Banks, Private Sector Banks and</w:t>
      </w:r>
      <w:r>
        <w:rPr>
          <w:rFonts w:ascii="Arial" w:hAnsi="Arial" w:cs="Arial"/>
          <w:color w:val="000000"/>
          <w:sz w:val="20"/>
          <w:szCs w:val="20"/>
        </w:rPr>
        <w:br/>
        <w:t>Small Finance Banks</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Madam/Dear Sir,</w:t>
      </w:r>
    </w:p>
    <w:p w:rsidR="00C96881" w:rsidRDefault="00C96881" w:rsidP="00C96881">
      <w:pPr>
        <w:pStyle w:val="head"/>
        <w:jc w:val="both"/>
        <w:rPr>
          <w:rFonts w:ascii="Arial" w:hAnsi="Arial" w:cs="Arial"/>
          <w:b/>
          <w:bCs/>
          <w:color w:val="000000"/>
          <w:sz w:val="20"/>
          <w:szCs w:val="20"/>
        </w:rPr>
      </w:pPr>
      <w:r>
        <w:rPr>
          <w:rFonts w:ascii="Arial" w:hAnsi="Arial" w:cs="Arial"/>
          <w:b/>
          <w:bCs/>
          <w:color w:val="000000"/>
          <w:sz w:val="20"/>
          <w:szCs w:val="20"/>
        </w:rPr>
        <w:t xml:space="preserve">Modified Interest Subvention Scheme for Short Term Loans for Agriculture and Allied Activities availed through </w:t>
      </w:r>
      <w:proofErr w:type="spellStart"/>
      <w:r>
        <w:rPr>
          <w:rFonts w:ascii="Arial" w:hAnsi="Arial" w:cs="Arial"/>
          <w:b/>
          <w:bCs/>
          <w:color w:val="000000"/>
          <w:sz w:val="20"/>
          <w:szCs w:val="20"/>
        </w:rPr>
        <w:t>Kisan</w:t>
      </w:r>
      <w:proofErr w:type="spellEnd"/>
      <w:r>
        <w:rPr>
          <w:rFonts w:ascii="Arial" w:hAnsi="Arial" w:cs="Arial"/>
          <w:b/>
          <w:bCs/>
          <w:color w:val="000000"/>
          <w:sz w:val="20"/>
          <w:szCs w:val="20"/>
        </w:rPr>
        <w:t xml:space="preserve"> Credit Card (KCC) during the financial years 2022-23 and 2023-24</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151" w:tgtFrame="_blank" w:history="1">
        <w:r>
          <w:rPr>
            <w:rStyle w:val="Hyperlink"/>
            <w:rFonts w:ascii="Arial" w:hAnsi="Arial" w:cs="Arial"/>
            <w:sz w:val="20"/>
            <w:szCs w:val="20"/>
          </w:rPr>
          <w:t>circular FIDD.CO.FSD.BC.No.3/05.02.001/2022-23 dated April 28, 2022</w:t>
        </w:r>
      </w:hyperlink>
      <w:r>
        <w:rPr>
          <w:rFonts w:ascii="Arial" w:hAnsi="Arial" w:cs="Arial"/>
          <w:color w:val="000000"/>
          <w:sz w:val="20"/>
          <w:szCs w:val="20"/>
        </w:rPr>
        <w:t> conveying the decision of the Government of India for continuation of the Modified Interest Subvention Scheme for short term loans for agriculture and allied activities for the year 2021-22.</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2. In this regard, it is advised that Government of India has approved the continuation of the Interest Subvention Scheme (ISS) with modification for the financial years 2022-23 and 2023-24 with the following stipulations:</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 xml:space="preserve">(i) In order to provide short term crop loans and short term loans for allied activities including animal husbandry, dairy, fisheries, bee keeping etc. </w:t>
      </w:r>
      <w:proofErr w:type="spellStart"/>
      <w:r>
        <w:rPr>
          <w:rFonts w:ascii="Arial" w:hAnsi="Arial" w:cs="Arial"/>
          <w:color w:val="000000"/>
          <w:sz w:val="20"/>
          <w:szCs w:val="20"/>
        </w:rPr>
        <w:t>upto</w:t>
      </w:r>
      <w:proofErr w:type="spellEnd"/>
      <w:r>
        <w:rPr>
          <w:rFonts w:ascii="Arial" w:hAnsi="Arial" w:cs="Arial"/>
          <w:color w:val="000000"/>
          <w:sz w:val="20"/>
          <w:szCs w:val="20"/>
        </w:rPr>
        <w:t xml:space="preserve"> an overall limit of ₹3 lakh to farmers through KCC at concessional interest rate during the years 2022-23 and 2023-24, it has been decided to provide interest subvention to lending institutions viz. Public Sector Banks (PSBs) and Private Sector Banks (in respect of loans given by their rural and semi-urban branches only), Small Finance Banks (SFBs) and computerized Primary Agriculture Cooperative Societies (PACS) which have been ceded with Scheduled Commercial Banks (SCBs), on use of their own resources. This interest subvention will be calculated on the loan amount from the date of disbursement/</w:t>
      </w:r>
      <w:proofErr w:type="spellStart"/>
      <w:r>
        <w:rPr>
          <w:rFonts w:ascii="Arial" w:hAnsi="Arial" w:cs="Arial"/>
          <w:color w:val="000000"/>
          <w:sz w:val="20"/>
          <w:szCs w:val="20"/>
        </w:rPr>
        <w:t>drawal</w:t>
      </w:r>
      <w:proofErr w:type="spellEnd"/>
      <w:r>
        <w:rPr>
          <w:rFonts w:ascii="Arial" w:hAnsi="Arial" w:cs="Arial"/>
          <w:color w:val="000000"/>
          <w:sz w:val="20"/>
          <w:szCs w:val="20"/>
        </w:rPr>
        <w:t xml:space="preserve"> up to the date of actual repayment of the loan by the farmer or up to the due date of the loan fixed by the banks, whichever is earlier, subject to a maximum period of one year. The applicable lending rate to farmers and the rate of interest subvention for the financial years 2022-23 and 2023-24 will be as follows:</w:t>
      </w: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2408"/>
        <w:gridCol w:w="4943"/>
      </w:tblGrid>
      <w:tr w:rsidR="00C96881" w:rsidTr="00C96881">
        <w:trPr>
          <w:trHeight w:val="418"/>
          <w:jc w:val="center"/>
        </w:trPr>
        <w:tc>
          <w:tcPr>
            <w:tcW w:w="873" w:type="pct"/>
            <w:tcMar>
              <w:top w:w="0" w:type="dxa"/>
              <w:left w:w="45" w:type="dxa"/>
              <w:bottom w:w="0" w:type="dxa"/>
              <w:right w:w="45" w:type="dxa"/>
            </w:tcMar>
            <w:vAlign w:val="center"/>
            <w:hideMark/>
          </w:tcPr>
          <w:p w:rsidR="00C96881" w:rsidRDefault="00C96881" w:rsidP="00C96881">
            <w:pPr>
              <w:jc w:val="center"/>
              <w:rPr>
                <w:rFonts w:ascii="Arial" w:hAnsi="Arial" w:cs="Arial"/>
                <w:b/>
                <w:bCs/>
                <w:color w:val="000000"/>
                <w:sz w:val="20"/>
                <w:szCs w:val="20"/>
              </w:rPr>
            </w:pPr>
            <w:r>
              <w:rPr>
                <w:rFonts w:ascii="Arial" w:hAnsi="Arial" w:cs="Arial"/>
                <w:b/>
                <w:bCs/>
                <w:color w:val="000000"/>
                <w:sz w:val="20"/>
                <w:szCs w:val="20"/>
              </w:rPr>
              <w:t>Financial Year</w:t>
            </w:r>
          </w:p>
        </w:tc>
        <w:tc>
          <w:tcPr>
            <w:tcW w:w="1352" w:type="pct"/>
            <w:tcMar>
              <w:top w:w="0" w:type="dxa"/>
              <w:left w:w="45" w:type="dxa"/>
              <w:bottom w:w="0" w:type="dxa"/>
              <w:right w:w="45" w:type="dxa"/>
            </w:tcMar>
            <w:vAlign w:val="center"/>
            <w:hideMark/>
          </w:tcPr>
          <w:p w:rsidR="00C96881" w:rsidRDefault="00C96881" w:rsidP="00C96881">
            <w:pPr>
              <w:jc w:val="center"/>
              <w:rPr>
                <w:rFonts w:ascii="Arial" w:hAnsi="Arial" w:cs="Arial"/>
                <w:b/>
                <w:bCs/>
                <w:color w:val="000000"/>
                <w:sz w:val="20"/>
                <w:szCs w:val="20"/>
              </w:rPr>
            </w:pPr>
            <w:r>
              <w:rPr>
                <w:rFonts w:ascii="Arial" w:hAnsi="Arial" w:cs="Arial"/>
                <w:b/>
                <w:bCs/>
                <w:color w:val="000000"/>
                <w:sz w:val="20"/>
                <w:szCs w:val="20"/>
              </w:rPr>
              <w:t>Lending rate to farmers</w:t>
            </w:r>
          </w:p>
        </w:tc>
        <w:tc>
          <w:tcPr>
            <w:tcW w:w="2775" w:type="pct"/>
            <w:tcMar>
              <w:top w:w="0" w:type="dxa"/>
              <w:left w:w="45" w:type="dxa"/>
              <w:bottom w:w="0" w:type="dxa"/>
              <w:right w:w="45" w:type="dxa"/>
            </w:tcMar>
            <w:vAlign w:val="center"/>
            <w:hideMark/>
          </w:tcPr>
          <w:p w:rsidR="00C96881" w:rsidRDefault="00C96881" w:rsidP="00C96881">
            <w:pPr>
              <w:jc w:val="center"/>
              <w:rPr>
                <w:rFonts w:ascii="Arial" w:hAnsi="Arial" w:cs="Arial"/>
                <w:b/>
                <w:bCs/>
                <w:color w:val="000000"/>
                <w:sz w:val="20"/>
                <w:szCs w:val="20"/>
              </w:rPr>
            </w:pPr>
            <w:r>
              <w:rPr>
                <w:rFonts w:ascii="Arial" w:hAnsi="Arial" w:cs="Arial"/>
                <w:b/>
                <w:bCs/>
                <w:color w:val="000000"/>
                <w:sz w:val="20"/>
                <w:szCs w:val="20"/>
              </w:rPr>
              <w:t>Rate of Interest Subvention to Lending Institutions</w:t>
            </w:r>
          </w:p>
        </w:tc>
      </w:tr>
      <w:tr w:rsidR="00C96881" w:rsidTr="00C96881">
        <w:trPr>
          <w:trHeight w:val="141"/>
          <w:jc w:val="center"/>
        </w:trPr>
        <w:tc>
          <w:tcPr>
            <w:tcW w:w="873" w:type="pct"/>
            <w:tcMar>
              <w:top w:w="0" w:type="dxa"/>
              <w:left w:w="45" w:type="dxa"/>
              <w:bottom w:w="0" w:type="dxa"/>
              <w:right w:w="45" w:type="dxa"/>
            </w:tcMar>
            <w:vAlign w:val="center"/>
            <w:hideMark/>
          </w:tcPr>
          <w:p w:rsidR="00C96881" w:rsidRDefault="00C96881" w:rsidP="00C96881">
            <w:pPr>
              <w:jc w:val="center"/>
              <w:rPr>
                <w:rFonts w:ascii="Arial" w:hAnsi="Arial" w:cs="Arial"/>
                <w:color w:val="000000"/>
                <w:sz w:val="20"/>
                <w:szCs w:val="20"/>
              </w:rPr>
            </w:pPr>
            <w:r>
              <w:rPr>
                <w:rFonts w:ascii="Arial" w:hAnsi="Arial" w:cs="Arial"/>
                <w:color w:val="000000"/>
                <w:sz w:val="20"/>
                <w:szCs w:val="20"/>
              </w:rPr>
              <w:t>2022-23</w:t>
            </w:r>
          </w:p>
        </w:tc>
        <w:tc>
          <w:tcPr>
            <w:tcW w:w="1352" w:type="pct"/>
            <w:tcMar>
              <w:top w:w="0" w:type="dxa"/>
              <w:left w:w="45" w:type="dxa"/>
              <w:bottom w:w="0" w:type="dxa"/>
              <w:right w:w="45" w:type="dxa"/>
            </w:tcMar>
            <w:vAlign w:val="center"/>
            <w:hideMark/>
          </w:tcPr>
          <w:p w:rsidR="00C96881" w:rsidRDefault="00C96881" w:rsidP="00C96881">
            <w:pPr>
              <w:jc w:val="center"/>
              <w:rPr>
                <w:rFonts w:ascii="Arial" w:hAnsi="Arial" w:cs="Arial"/>
                <w:color w:val="000000"/>
                <w:sz w:val="20"/>
                <w:szCs w:val="20"/>
              </w:rPr>
            </w:pPr>
            <w:r>
              <w:rPr>
                <w:rFonts w:ascii="Arial" w:hAnsi="Arial" w:cs="Arial"/>
                <w:color w:val="000000"/>
                <w:sz w:val="20"/>
                <w:szCs w:val="20"/>
              </w:rPr>
              <w:t>7%</w:t>
            </w:r>
          </w:p>
        </w:tc>
        <w:tc>
          <w:tcPr>
            <w:tcW w:w="2775" w:type="pct"/>
            <w:tcMar>
              <w:top w:w="0" w:type="dxa"/>
              <w:left w:w="45" w:type="dxa"/>
              <w:bottom w:w="0" w:type="dxa"/>
              <w:right w:w="45" w:type="dxa"/>
            </w:tcMar>
            <w:vAlign w:val="center"/>
            <w:hideMark/>
          </w:tcPr>
          <w:p w:rsidR="00C96881" w:rsidRDefault="00C96881" w:rsidP="00C96881">
            <w:pPr>
              <w:jc w:val="center"/>
              <w:rPr>
                <w:rFonts w:ascii="Arial" w:hAnsi="Arial" w:cs="Arial"/>
                <w:color w:val="000000"/>
                <w:sz w:val="20"/>
                <w:szCs w:val="20"/>
              </w:rPr>
            </w:pPr>
            <w:r>
              <w:rPr>
                <w:rFonts w:ascii="Arial" w:hAnsi="Arial" w:cs="Arial"/>
                <w:color w:val="000000"/>
                <w:sz w:val="20"/>
                <w:szCs w:val="20"/>
              </w:rPr>
              <w:t>1.50%</w:t>
            </w:r>
          </w:p>
        </w:tc>
      </w:tr>
      <w:tr w:rsidR="00C96881" w:rsidTr="00C96881">
        <w:trPr>
          <w:trHeight w:val="202"/>
          <w:jc w:val="center"/>
        </w:trPr>
        <w:tc>
          <w:tcPr>
            <w:tcW w:w="873" w:type="pct"/>
            <w:tcMar>
              <w:top w:w="0" w:type="dxa"/>
              <w:left w:w="45" w:type="dxa"/>
              <w:bottom w:w="0" w:type="dxa"/>
              <w:right w:w="45" w:type="dxa"/>
            </w:tcMar>
            <w:vAlign w:val="center"/>
            <w:hideMark/>
          </w:tcPr>
          <w:p w:rsidR="00C96881" w:rsidRDefault="00C96881" w:rsidP="00C96881">
            <w:pPr>
              <w:jc w:val="center"/>
              <w:rPr>
                <w:rFonts w:ascii="Arial" w:hAnsi="Arial" w:cs="Arial"/>
                <w:color w:val="000000"/>
                <w:sz w:val="20"/>
                <w:szCs w:val="20"/>
              </w:rPr>
            </w:pPr>
            <w:r>
              <w:rPr>
                <w:rFonts w:ascii="Arial" w:hAnsi="Arial" w:cs="Arial"/>
                <w:color w:val="000000"/>
                <w:sz w:val="20"/>
                <w:szCs w:val="20"/>
              </w:rPr>
              <w:t>2023-24</w:t>
            </w:r>
          </w:p>
        </w:tc>
        <w:tc>
          <w:tcPr>
            <w:tcW w:w="1352" w:type="pct"/>
            <w:tcMar>
              <w:top w:w="0" w:type="dxa"/>
              <w:left w:w="45" w:type="dxa"/>
              <w:bottom w:w="0" w:type="dxa"/>
              <w:right w:w="45" w:type="dxa"/>
            </w:tcMar>
            <w:vAlign w:val="center"/>
            <w:hideMark/>
          </w:tcPr>
          <w:p w:rsidR="00C96881" w:rsidRDefault="00C96881" w:rsidP="00C96881">
            <w:pPr>
              <w:jc w:val="center"/>
              <w:rPr>
                <w:rFonts w:ascii="Arial" w:hAnsi="Arial" w:cs="Arial"/>
                <w:color w:val="000000"/>
                <w:sz w:val="20"/>
                <w:szCs w:val="20"/>
              </w:rPr>
            </w:pPr>
            <w:r>
              <w:rPr>
                <w:rFonts w:ascii="Arial" w:hAnsi="Arial" w:cs="Arial"/>
                <w:color w:val="000000"/>
                <w:sz w:val="20"/>
                <w:szCs w:val="20"/>
              </w:rPr>
              <w:t>7%</w:t>
            </w:r>
          </w:p>
        </w:tc>
        <w:tc>
          <w:tcPr>
            <w:tcW w:w="2775" w:type="pct"/>
            <w:tcMar>
              <w:top w:w="0" w:type="dxa"/>
              <w:left w:w="45" w:type="dxa"/>
              <w:bottom w:w="0" w:type="dxa"/>
              <w:right w:w="45" w:type="dxa"/>
            </w:tcMar>
            <w:vAlign w:val="center"/>
            <w:hideMark/>
          </w:tcPr>
          <w:p w:rsidR="00C96881" w:rsidRDefault="00C96881" w:rsidP="00C96881">
            <w:pPr>
              <w:jc w:val="center"/>
              <w:rPr>
                <w:rFonts w:ascii="Arial" w:hAnsi="Arial" w:cs="Arial"/>
                <w:color w:val="000000"/>
                <w:sz w:val="20"/>
                <w:szCs w:val="20"/>
              </w:rPr>
            </w:pPr>
            <w:r>
              <w:rPr>
                <w:rFonts w:ascii="Arial" w:hAnsi="Arial" w:cs="Arial"/>
                <w:color w:val="000000"/>
                <w:sz w:val="20"/>
                <w:szCs w:val="20"/>
              </w:rPr>
              <w:t>1.50%</w:t>
            </w:r>
          </w:p>
        </w:tc>
      </w:tr>
    </w:tbl>
    <w:p w:rsidR="00C96881" w:rsidRDefault="00C96881" w:rsidP="00C96881">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C96881" w:rsidRDefault="00C96881" w:rsidP="00C96881">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Nisha</w:t>
      </w:r>
      <w:proofErr w:type="spellEnd"/>
      <w:r>
        <w:rPr>
          <w:rFonts w:ascii="Arial" w:hAnsi="Arial" w:cs="Arial"/>
          <w:color w:val="000000"/>
          <w:sz w:val="20"/>
          <w:szCs w:val="20"/>
        </w:rPr>
        <w:t xml:space="preserve"> </w:t>
      </w:r>
      <w:proofErr w:type="spellStart"/>
      <w:r>
        <w:rPr>
          <w:rFonts w:ascii="Arial" w:hAnsi="Arial" w:cs="Arial"/>
          <w:color w:val="000000"/>
          <w:sz w:val="20"/>
          <w:szCs w:val="20"/>
        </w:rPr>
        <w:t>Nambiar</w:t>
      </w:r>
      <w:proofErr w:type="spellEnd"/>
      <w:r>
        <w:rPr>
          <w:rFonts w:ascii="Arial" w:hAnsi="Arial" w:cs="Arial"/>
          <w:color w:val="000000"/>
          <w:sz w:val="20"/>
          <w:szCs w:val="20"/>
        </w:rPr>
        <w:t>)</w:t>
      </w:r>
      <w:r>
        <w:rPr>
          <w:rFonts w:ascii="Arial" w:hAnsi="Arial" w:cs="Arial"/>
          <w:color w:val="000000"/>
          <w:sz w:val="20"/>
          <w:szCs w:val="20"/>
        </w:rPr>
        <w:br/>
        <w:t>Chief General Manager</w:t>
      </w:r>
    </w:p>
    <w:p w:rsidR="00C96881" w:rsidRDefault="00C96881" w:rsidP="00C96881">
      <w:pPr>
        <w:pStyle w:val="NormalWeb"/>
        <w:rPr>
          <w:rFonts w:ascii="Arial" w:hAnsi="Arial" w:cs="Arial"/>
          <w:b/>
          <w:color w:val="000000"/>
          <w:sz w:val="20"/>
          <w:szCs w:val="20"/>
        </w:rPr>
      </w:pPr>
    </w:p>
    <w:p w:rsidR="00C96881" w:rsidRDefault="00C96881" w:rsidP="00C96881">
      <w:pPr>
        <w:pStyle w:val="NormalWeb"/>
        <w:rPr>
          <w:rFonts w:ascii="Arial" w:hAnsi="Arial" w:cs="Arial"/>
          <w:b/>
          <w:color w:val="000000"/>
          <w:sz w:val="20"/>
          <w:szCs w:val="20"/>
        </w:rPr>
      </w:pPr>
    </w:p>
    <w:p w:rsidR="00C96881" w:rsidRDefault="00C96881" w:rsidP="00C96881">
      <w:r>
        <w:t>More details can be referred to in the below link.</w:t>
      </w:r>
    </w:p>
    <w:p w:rsidR="00C96881" w:rsidRDefault="00C96881" w:rsidP="00C96881">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52" w:history="1">
        <w:r w:rsidRPr="006865D6">
          <w:rPr>
            <w:rStyle w:val="Hyperlink"/>
            <w:rFonts w:ascii="Arial" w:hAnsi="Arial" w:cs="Arial"/>
            <w:bCs/>
            <w:sz w:val="20"/>
            <w:szCs w:val="20"/>
          </w:rPr>
          <w:t>https://www.rbi.org.in/scripts/NotificationUser.aspx?Id=12411&amp;Mode=0</w:t>
        </w:r>
      </w:hyperlink>
    </w:p>
    <w:p w:rsidR="00C96881" w:rsidRDefault="00C96881" w:rsidP="00C96881">
      <w:pPr>
        <w:pStyle w:val="NormalWeb"/>
        <w:rPr>
          <w:rFonts w:ascii="Arial" w:hAnsi="Arial" w:cs="Arial"/>
          <w:b/>
          <w:bCs/>
          <w:color w:val="000000"/>
          <w:sz w:val="20"/>
          <w:szCs w:val="20"/>
        </w:rPr>
      </w:pPr>
      <w:r>
        <w:rPr>
          <w:rFonts w:ascii="Arial" w:hAnsi="Arial" w:cs="Arial"/>
          <w:b/>
          <w:bCs/>
          <w:color w:val="000000"/>
          <w:sz w:val="20"/>
          <w:szCs w:val="20"/>
        </w:rPr>
        <w:t>Inclusion of Goods and Service Tax Network (GSTN) as a Financial Information Provider under Account Aggregator Framework</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RBI/2022-23/140</w:t>
      </w:r>
      <w:r>
        <w:rPr>
          <w:rFonts w:ascii="Arial" w:hAnsi="Arial" w:cs="Arial"/>
          <w:color w:val="000000"/>
          <w:sz w:val="20"/>
          <w:szCs w:val="20"/>
        </w:rPr>
        <w:br/>
        <w:t>DoR.FIN.REC.82/03.10.123/2022-23</w:t>
      </w:r>
    </w:p>
    <w:p w:rsidR="00C96881" w:rsidRDefault="00C96881" w:rsidP="00C96881">
      <w:pPr>
        <w:pStyle w:val="NormalWeb"/>
        <w:jc w:val="right"/>
        <w:rPr>
          <w:rFonts w:ascii="Arial" w:hAnsi="Arial" w:cs="Arial"/>
          <w:color w:val="000000"/>
          <w:sz w:val="20"/>
          <w:szCs w:val="20"/>
        </w:rPr>
      </w:pPr>
      <w:r>
        <w:rPr>
          <w:rFonts w:ascii="Arial" w:hAnsi="Arial" w:cs="Arial"/>
          <w:color w:val="000000"/>
          <w:sz w:val="20"/>
          <w:szCs w:val="20"/>
        </w:rPr>
        <w:t>November 23, 2022</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To All Regulated Entities of the Bank</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Madam/Dear Sir,</w:t>
      </w:r>
    </w:p>
    <w:p w:rsidR="00C96881" w:rsidRDefault="00C96881" w:rsidP="00C96881">
      <w:pPr>
        <w:pStyle w:val="head"/>
        <w:jc w:val="both"/>
        <w:rPr>
          <w:rFonts w:ascii="Arial" w:hAnsi="Arial" w:cs="Arial"/>
          <w:b/>
          <w:bCs/>
          <w:color w:val="000000"/>
          <w:sz w:val="20"/>
          <w:szCs w:val="20"/>
        </w:rPr>
      </w:pPr>
      <w:r>
        <w:rPr>
          <w:rFonts w:ascii="Arial" w:hAnsi="Arial" w:cs="Arial"/>
          <w:b/>
          <w:bCs/>
          <w:color w:val="000000"/>
          <w:sz w:val="20"/>
          <w:szCs w:val="20"/>
        </w:rPr>
        <w:t>Inclusion of Goods and Service Tax Network (GSTN) as a Financial Information Provider under Account Aggregator Framework</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153" w:tgtFrame="_blank" w:history="1">
        <w:r>
          <w:rPr>
            <w:rStyle w:val="Hyperlink"/>
            <w:rFonts w:ascii="Arial" w:hAnsi="Arial" w:cs="Arial"/>
            <w:sz w:val="20"/>
            <w:szCs w:val="20"/>
          </w:rPr>
          <w:t>Master Direction – Non-Banking Financial Company - Account Aggregator (Reserve Bank) Directions, 2016 dated September 02, 2016</w:t>
        </w:r>
      </w:hyperlink>
      <w:r>
        <w:rPr>
          <w:rFonts w:ascii="Arial" w:hAnsi="Arial" w:cs="Arial"/>
          <w:color w:val="000000"/>
          <w:sz w:val="20"/>
          <w:szCs w:val="20"/>
        </w:rPr>
        <w:t>.</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2. With a view to facilitate cash flow-based lending to MSMEs, it has been decided to include Goods and Services Tax Network (GSTN) as a Financial Information Provider (FIP) under the Account Aggregator (AA) framework. Department of Revenue shall be the regulator of GSTN for this specific purpose and Goods and Services Tax (GST) Returns, viz. Form GSTR-1 and Form GSTR-3B, shall be the Financial Information.</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3. Accordingly, the select instructions contained in the Master Direction referred to above have been amended, as detailed in the </w:t>
      </w:r>
      <w:hyperlink r:id="rId154" w:anchor="AN1" w:history="1">
        <w:r>
          <w:rPr>
            <w:rStyle w:val="Hyperlink"/>
            <w:rFonts w:ascii="Arial" w:hAnsi="Arial" w:cs="Arial"/>
            <w:sz w:val="20"/>
            <w:szCs w:val="20"/>
          </w:rPr>
          <w:t>Annex</w:t>
        </w:r>
      </w:hyperlink>
      <w:r>
        <w:rPr>
          <w:rFonts w:ascii="Arial" w:hAnsi="Arial" w:cs="Arial"/>
          <w:color w:val="000000"/>
          <w:sz w:val="20"/>
          <w:szCs w:val="20"/>
        </w:rPr>
        <w:t>.</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Yours faithfully,</w:t>
      </w:r>
    </w:p>
    <w:p w:rsidR="00C96881" w:rsidRDefault="00C96881" w:rsidP="00C96881">
      <w:pPr>
        <w:pStyle w:val="NormalWeb"/>
        <w:rPr>
          <w:rFonts w:ascii="Arial" w:hAnsi="Arial" w:cs="Arial"/>
          <w:color w:val="000000"/>
          <w:sz w:val="20"/>
          <w:szCs w:val="20"/>
        </w:rPr>
      </w:pPr>
      <w:r>
        <w:rPr>
          <w:rFonts w:ascii="Arial" w:hAnsi="Arial" w:cs="Arial"/>
          <w:color w:val="000000"/>
          <w:sz w:val="20"/>
          <w:szCs w:val="20"/>
        </w:rPr>
        <w:t>(J.P. Sharma)</w:t>
      </w:r>
      <w:r>
        <w:rPr>
          <w:rFonts w:ascii="Arial" w:hAnsi="Arial" w:cs="Arial"/>
          <w:color w:val="000000"/>
          <w:sz w:val="20"/>
          <w:szCs w:val="20"/>
        </w:rPr>
        <w:br/>
        <w:t>Chief General Manager</w:t>
      </w:r>
    </w:p>
    <w:p w:rsidR="00C96881" w:rsidRDefault="00C96881" w:rsidP="00C96881">
      <w:pPr>
        <w:pStyle w:val="NormalWeb"/>
        <w:rPr>
          <w:rFonts w:ascii="Arial" w:hAnsi="Arial" w:cs="Arial"/>
          <w:b/>
          <w:color w:val="000000"/>
          <w:sz w:val="20"/>
          <w:szCs w:val="20"/>
        </w:rPr>
      </w:pPr>
    </w:p>
    <w:p w:rsidR="00C96881" w:rsidRDefault="00C96881" w:rsidP="00C96881"/>
    <w:p w:rsidR="00C96881" w:rsidRDefault="00C96881" w:rsidP="00C96881">
      <w:r>
        <w:t>More details can be referred to in the below link.</w:t>
      </w:r>
    </w:p>
    <w:p w:rsidR="00C96881" w:rsidRDefault="00C96881" w:rsidP="00C96881">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55" w:history="1">
        <w:r w:rsidRPr="006865D6">
          <w:rPr>
            <w:rStyle w:val="Hyperlink"/>
            <w:rFonts w:ascii="Arial" w:hAnsi="Arial" w:cs="Arial"/>
            <w:bCs/>
            <w:sz w:val="20"/>
            <w:szCs w:val="20"/>
          </w:rPr>
          <w:t>https://www.rbi.org.in/scripts/NotificationUser.aspx?Id=12412&amp;Mode=0</w:t>
        </w:r>
      </w:hyperlink>
    </w:p>
    <w:p w:rsidR="00C96881" w:rsidRDefault="00C96881" w:rsidP="00C96881">
      <w:pPr>
        <w:pStyle w:val="NormalWeb"/>
        <w:rPr>
          <w:rFonts w:ascii="Arial" w:hAnsi="Arial" w:cs="Arial"/>
          <w:bCs/>
          <w:color w:val="000000"/>
          <w:sz w:val="20"/>
          <w:szCs w:val="20"/>
        </w:rPr>
      </w:pPr>
    </w:p>
    <w:p w:rsidR="00C96881" w:rsidRDefault="00C96881" w:rsidP="00C96881">
      <w:pPr>
        <w:pStyle w:val="NormalWeb"/>
        <w:rPr>
          <w:rFonts w:ascii="Arial" w:hAnsi="Arial" w:cs="Arial"/>
          <w:bCs/>
          <w:color w:val="000000"/>
          <w:sz w:val="20"/>
          <w:szCs w:val="20"/>
        </w:rPr>
      </w:pPr>
    </w:p>
    <w:p w:rsidR="00C96881" w:rsidRDefault="00C96881" w:rsidP="00C96881">
      <w:pPr>
        <w:pStyle w:val="NormalWeb"/>
        <w:rPr>
          <w:rFonts w:ascii="Arial" w:hAnsi="Arial" w:cs="Arial"/>
          <w:bCs/>
          <w:color w:val="000000"/>
          <w:sz w:val="20"/>
          <w:szCs w:val="20"/>
        </w:rPr>
      </w:pPr>
    </w:p>
    <w:p w:rsidR="00C96881" w:rsidRDefault="00C96881" w:rsidP="00C96881">
      <w:pPr>
        <w:pStyle w:val="NormalWeb"/>
        <w:rPr>
          <w:rFonts w:ascii="Arial" w:hAnsi="Arial" w:cs="Arial"/>
          <w:bCs/>
          <w:color w:val="000000"/>
          <w:sz w:val="20"/>
          <w:szCs w:val="20"/>
        </w:rPr>
      </w:pPr>
    </w:p>
    <w:p w:rsidR="00C96881" w:rsidRDefault="00C96881" w:rsidP="00C96881">
      <w:pPr>
        <w:pStyle w:val="NormalWeb"/>
        <w:rPr>
          <w:rFonts w:ascii="Arial" w:hAnsi="Arial" w:cs="Arial"/>
          <w:bCs/>
          <w:color w:val="000000"/>
          <w:sz w:val="20"/>
          <w:szCs w:val="20"/>
        </w:rPr>
      </w:pPr>
    </w:p>
    <w:p w:rsidR="00C96881" w:rsidRDefault="00C96881" w:rsidP="00C96881">
      <w:pPr>
        <w:pStyle w:val="NormalWeb"/>
        <w:rPr>
          <w:rFonts w:ascii="Arial" w:hAnsi="Arial" w:cs="Arial"/>
          <w:bCs/>
          <w:color w:val="000000"/>
          <w:sz w:val="20"/>
          <w:szCs w:val="20"/>
        </w:rPr>
      </w:pPr>
    </w:p>
    <w:p w:rsidR="00C96881" w:rsidRDefault="00C96881" w:rsidP="00C96881">
      <w:pPr>
        <w:pStyle w:val="NormalWeb"/>
        <w:rPr>
          <w:rFonts w:ascii="Arial" w:hAnsi="Arial" w:cs="Arial"/>
          <w:bCs/>
          <w:color w:val="000000"/>
          <w:sz w:val="20"/>
          <w:szCs w:val="20"/>
        </w:rPr>
      </w:pPr>
    </w:p>
    <w:p w:rsidR="00C96881" w:rsidRDefault="00C96881" w:rsidP="0001090D">
      <w:pPr>
        <w:rPr>
          <w:rFonts w:ascii="Arial" w:hAnsi="Arial" w:cs="Arial"/>
          <w:bCs/>
          <w:color w:val="000000"/>
          <w:sz w:val="20"/>
          <w:szCs w:val="20"/>
        </w:rPr>
      </w:pPr>
    </w:p>
    <w:p w:rsidR="00C96881" w:rsidRDefault="00C96881" w:rsidP="00C96881">
      <w:pPr>
        <w:rPr>
          <w:rFonts w:ascii="Arial" w:hAnsi="Arial" w:cs="Arial"/>
          <w:b/>
          <w:bCs/>
          <w:color w:val="000000"/>
          <w:sz w:val="20"/>
          <w:szCs w:val="20"/>
        </w:rPr>
      </w:pPr>
      <w:r>
        <w:rPr>
          <w:rFonts w:ascii="Arial" w:hAnsi="Arial" w:cs="Arial"/>
          <w:b/>
          <w:bCs/>
          <w:color w:val="000000"/>
          <w:sz w:val="20"/>
          <w:szCs w:val="20"/>
        </w:rPr>
        <w:t>Basel III Framework on Liquidity Standards – Standing Deposit Facility</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RBI/2022-23/141</w:t>
      </w:r>
      <w:r>
        <w:rPr>
          <w:rFonts w:ascii="Arial" w:hAnsi="Arial" w:cs="Arial"/>
          <w:color w:val="000000"/>
          <w:sz w:val="20"/>
          <w:szCs w:val="20"/>
        </w:rPr>
        <w:br/>
        <w:t>DOR.LRG.REC.83/03.10.001/2022-23</w:t>
      </w:r>
    </w:p>
    <w:p w:rsidR="00C96881" w:rsidRDefault="00C96881" w:rsidP="00C96881">
      <w:pPr>
        <w:pStyle w:val="NormalWeb"/>
        <w:jc w:val="right"/>
        <w:rPr>
          <w:rFonts w:ascii="Arial" w:hAnsi="Arial" w:cs="Arial"/>
          <w:color w:val="000000"/>
          <w:sz w:val="20"/>
          <w:szCs w:val="20"/>
        </w:rPr>
      </w:pPr>
      <w:r>
        <w:rPr>
          <w:rFonts w:ascii="Arial" w:hAnsi="Arial" w:cs="Arial"/>
          <w:color w:val="000000"/>
          <w:sz w:val="20"/>
          <w:szCs w:val="20"/>
        </w:rPr>
        <w:t>November 23, 2022</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Madam/Dear Sir,</w:t>
      </w:r>
    </w:p>
    <w:p w:rsidR="00C96881" w:rsidRDefault="00C96881" w:rsidP="00C96881">
      <w:pPr>
        <w:pStyle w:val="head"/>
        <w:jc w:val="both"/>
        <w:rPr>
          <w:rFonts w:ascii="Arial" w:hAnsi="Arial" w:cs="Arial"/>
          <w:b/>
          <w:bCs/>
          <w:color w:val="000000"/>
          <w:sz w:val="20"/>
          <w:szCs w:val="20"/>
        </w:rPr>
      </w:pPr>
      <w:r>
        <w:rPr>
          <w:rFonts w:ascii="Arial" w:hAnsi="Arial" w:cs="Arial"/>
          <w:b/>
          <w:bCs/>
          <w:color w:val="000000"/>
          <w:sz w:val="20"/>
          <w:szCs w:val="20"/>
        </w:rPr>
        <w:t>Basel III Framework on Liquidity Standards – Standing Deposit Facility</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Please refer to </w:t>
      </w:r>
      <w:hyperlink r:id="rId156" w:tgtFrame="_blank" w:history="1">
        <w:r>
          <w:rPr>
            <w:rStyle w:val="Hyperlink"/>
            <w:rFonts w:ascii="Arial" w:hAnsi="Arial" w:cs="Arial"/>
            <w:sz w:val="20"/>
            <w:szCs w:val="20"/>
          </w:rPr>
          <w:t>circular DBOD.BP.BC.No.120/21.04.098/2013-14 dated June 09, 2014</w:t>
        </w:r>
      </w:hyperlink>
      <w:r>
        <w:rPr>
          <w:rFonts w:ascii="Arial" w:hAnsi="Arial" w:cs="Arial"/>
          <w:color w:val="000000"/>
          <w:sz w:val="20"/>
          <w:szCs w:val="20"/>
        </w:rPr>
        <w:t> on ‘Basel III Framework on Liquidity Standards – Liquidity Coverage Ratio (LCR), Liquidity Risk Monitoring Tools and LCR Disclosure Standards’ and the </w:t>
      </w:r>
      <w:hyperlink r:id="rId157" w:tgtFrame="_blank" w:history="1">
        <w:r>
          <w:rPr>
            <w:rStyle w:val="Hyperlink"/>
            <w:rFonts w:ascii="Arial" w:hAnsi="Arial" w:cs="Arial"/>
            <w:sz w:val="20"/>
            <w:szCs w:val="20"/>
          </w:rPr>
          <w:t>Press Release 2022-2023/41 dated April 08, 2022</w:t>
        </w:r>
      </w:hyperlink>
      <w:r>
        <w:rPr>
          <w:rFonts w:ascii="Arial" w:hAnsi="Arial" w:cs="Arial"/>
          <w:color w:val="000000"/>
          <w:sz w:val="20"/>
          <w:szCs w:val="20"/>
        </w:rPr>
        <w:t> on operationalising of Standing Deposit Facility (SDF).</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2. We have received queries from banks seeking clarification on the treatment of SDF under Liquidity Risk Management Framework.</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3. Accordingly, it is advised that the overnight balances held by banks with RBI under SDF shall be eligible as ‘Level 1 High Quality Liquid Assets (HQLA)’ for computation of LCR.</w:t>
      </w:r>
    </w:p>
    <w:p w:rsidR="00C96881" w:rsidRDefault="00C96881" w:rsidP="00C96881">
      <w:pPr>
        <w:pStyle w:val="head"/>
        <w:jc w:val="both"/>
        <w:rPr>
          <w:rFonts w:ascii="Arial" w:hAnsi="Arial" w:cs="Arial"/>
          <w:b/>
          <w:bCs/>
          <w:color w:val="000000"/>
          <w:sz w:val="20"/>
          <w:szCs w:val="20"/>
        </w:rPr>
      </w:pPr>
      <w:r>
        <w:rPr>
          <w:rFonts w:ascii="Arial" w:hAnsi="Arial" w:cs="Arial"/>
          <w:b/>
          <w:bCs/>
          <w:color w:val="000000"/>
          <w:sz w:val="20"/>
          <w:szCs w:val="20"/>
        </w:rPr>
        <w:t>Applicability</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4. This circular is applicable to all Commercial Banks (excluding Local Area Banks, Regional Rural Banks and Payments Banks).</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5. These instructions shall come into force with immediate effect.</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Yours faithfully</w:t>
      </w:r>
    </w:p>
    <w:p w:rsidR="00C96881" w:rsidRDefault="00C96881" w:rsidP="00C96881">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C96881" w:rsidRDefault="00C96881" w:rsidP="00C96881">
      <w:pPr>
        <w:rPr>
          <w:rFonts w:ascii="Arial" w:hAnsi="Arial" w:cs="Arial"/>
          <w:sz w:val="20"/>
          <w:szCs w:val="20"/>
        </w:rPr>
      </w:pPr>
    </w:p>
    <w:p w:rsidR="00C96881" w:rsidRDefault="00C96881" w:rsidP="00C96881">
      <w:pPr>
        <w:rPr>
          <w:rFonts w:ascii="Arial" w:hAnsi="Arial" w:cs="Arial"/>
          <w:sz w:val="20"/>
          <w:szCs w:val="20"/>
        </w:rPr>
      </w:pPr>
    </w:p>
    <w:p w:rsidR="00C96881" w:rsidRDefault="00C96881" w:rsidP="00C96881">
      <w:r>
        <w:t>More details can be referred to in the below link.</w:t>
      </w:r>
    </w:p>
    <w:p w:rsidR="00C96881" w:rsidRDefault="00C96881" w:rsidP="00C96881">
      <w:pPr>
        <w:rPr>
          <w:rFonts w:ascii="Arial" w:hAnsi="Arial" w:cs="Arial"/>
          <w:bCs/>
          <w:color w:val="000000"/>
          <w:sz w:val="20"/>
          <w:szCs w:val="20"/>
        </w:rPr>
      </w:pPr>
      <w:r>
        <w:rPr>
          <w:rFonts w:ascii="Arial" w:hAnsi="Arial" w:cs="Arial"/>
          <w:bCs/>
          <w:color w:val="000000"/>
          <w:sz w:val="20"/>
          <w:szCs w:val="20"/>
        </w:rPr>
        <w:t xml:space="preserve">Reference Link: </w:t>
      </w:r>
      <w:hyperlink r:id="rId158" w:history="1">
        <w:r w:rsidRPr="009A1791">
          <w:rPr>
            <w:rStyle w:val="Hyperlink"/>
            <w:rFonts w:ascii="Arial" w:hAnsi="Arial" w:cs="Arial"/>
            <w:bCs/>
            <w:sz w:val="20"/>
            <w:szCs w:val="20"/>
          </w:rPr>
          <w:t>https://www.rbi.org.in/scripts/NotificationUser.aspx?Id=12413&amp;Mode=0</w:t>
        </w:r>
      </w:hyperlink>
    </w:p>
    <w:p w:rsidR="00C96881" w:rsidRDefault="00C96881" w:rsidP="00C96881">
      <w:pPr>
        <w:rPr>
          <w:rFonts w:ascii="Arial" w:hAnsi="Arial" w:cs="Arial"/>
          <w:sz w:val="20"/>
          <w:szCs w:val="20"/>
        </w:rPr>
      </w:pPr>
    </w:p>
    <w:p w:rsidR="00C96881" w:rsidRDefault="00C96881" w:rsidP="00C96881">
      <w:pPr>
        <w:rPr>
          <w:rFonts w:ascii="Arial" w:hAnsi="Arial" w:cs="Arial"/>
          <w:sz w:val="20"/>
          <w:szCs w:val="20"/>
        </w:rPr>
      </w:pPr>
    </w:p>
    <w:p w:rsidR="00C96881" w:rsidRDefault="00C96881" w:rsidP="00C96881">
      <w:pPr>
        <w:rPr>
          <w:rFonts w:ascii="Arial" w:hAnsi="Arial" w:cs="Arial"/>
          <w:sz w:val="20"/>
          <w:szCs w:val="20"/>
        </w:rPr>
      </w:pPr>
    </w:p>
    <w:p w:rsidR="00C96881" w:rsidRDefault="00C96881" w:rsidP="00C96881">
      <w:pPr>
        <w:rPr>
          <w:rFonts w:ascii="Arial" w:hAnsi="Arial" w:cs="Arial"/>
          <w:sz w:val="20"/>
          <w:szCs w:val="20"/>
        </w:rPr>
      </w:pPr>
    </w:p>
    <w:p w:rsidR="00C96881" w:rsidRDefault="00C96881" w:rsidP="00C96881">
      <w:pPr>
        <w:rPr>
          <w:rFonts w:ascii="Arial" w:hAnsi="Arial" w:cs="Arial"/>
          <w:sz w:val="20"/>
          <w:szCs w:val="20"/>
        </w:rPr>
      </w:pPr>
    </w:p>
    <w:p w:rsidR="00C96881" w:rsidRDefault="00C96881" w:rsidP="00C96881">
      <w:pPr>
        <w:rPr>
          <w:rFonts w:ascii="Arial" w:hAnsi="Arial" w:cs="Arial"/>
          <w:sz w:val="20"/>
          <w:szCs w:val="20"/>
        </w:rPr>
      </w:pPr>
    </w:p>
    <w:p w:rsidR="00C96881" w:rsidRDefault="00C96881" w:rsidP="00C96881">
      <w:pPr>
        <w:rPr>
          <w:rFonts w:ascii="Arial" w:hAnsi="Arial" w:cs="Arial"/>
          <w:sz w:val="20"/>
          <w:szCs w:val="20"/>
        </w:rPr>
      </w:pPr>
    </w:p>
    <w:p w:rsidR="00C96881" w:rsidRDefault="00C96881" w:rsidP="00C96881">
      <w:pPr>
        <w:rPr>
          <w:rFonts w:ascii="Arial" w:hAnsi="Arial" w:cs="Arial"/>
          <w:sz w:val="20"/>
          <w:szCs w:val="20"/>
        </w:rPr>
      </w:pPr>
    </w:p>
    <w:p w:rsidR="00C96881" w:rsidRDefault="00C96881" w:rsidP="0001090D">
      <w:pPr>
        <w:rPr>
          <w:rFonts w:ascii="Arial" w:hAnsi="Arial" w:cs="Arial"/>
          <w:bCs/>
          <w:color w:val="000000"/>
          <w:sz w:val="20"/>
          <w:szCs w:val="20"/>
        </w:rPr>
      </w:pPr>
    </w:p>
    <w:p w:rsidR="00C96881" w:rsidRDefault="00C96881" w:rsidP="00C96881">
      <w:pPr>
        <w:spacing w:after="0"/>
        <w:rPr>
          <w:rFonts w:ascii="Arial" w:hAnsi="Arial" w:cs="Arial"/>
          <w:b/>
          <w:bCs/>
          <w:color w:val="000000"/>
          <w:sz w:val="20"/>
          <w:szCs w:val="20"/>
        </w:rPr>
      </w:pPr>
      <w:r>
        <w:rPr>
          <w:rFonts w:ascii="Arial" w:hAnsi="Arial" w:cs="Arial"/>
          <w:b/>
          <w:bCs/>
          <w:color w:val="000000"/>
          <w:sz w:val="20"/>
          <w:szCs w:val="20"/>
        </w:rPr>
        <w:t>Notification of Significant Benchmark</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RBI/2022-23/142</w:t>
      </w:r>
      <w:r>
        <w:rPr>
          <w:rFonts w:ascii="Arial" w:hAnsi="Arial" w:cs="Arial"/>
          <w:color w:val="000000"/>
          <w:sz w:val="20"/>
          <w:szCs w:val="20"/>
        </w:rPr>
        <w:br/>
        <w:t>FMRD.FMSD.06/03.07.25/2022-23</w:t>
      </w:r>
    </w:p>
    <w:p w:rsidR="00C96881" w:rsidRDefault="00C96881" w:rsidP="00C96881">
      <w:pPr>
        <w:pStyle w:val="NormalWeb"/>
        <w:jc w:val="right"/>
        <w:rPr>
          <w:rFonts w:ascii="Arial" w:hAnsi="Arial" w:cs="Arial"/>
          <w:color w:val="000000"/>
          <w:sz w:val="20"/>
          <w:szCs w:val="20"/>
        </w:rPr>
      </w:pPr>
      <w:r>
        <w:rPr>
          <w:rFonts w:ascii="Arial" w:hAnsi="Arial" w:cs="Arial"/>
          <w:color w:val="000000"/>
          <w:sz w:val="20"/>
          <w:szCs w:val="20"/>
        </w:rPr>
        <w:t>December 01, 2022</w:t>
      </w:r>
    </w:p>
    <w:p w:rsidR="00C96881" w:rsidRDefault="00C96881" w:rsidP="00C9688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To</w:t>
      </w:r>
    </w:p>
    <w:p w:rsidR="00C96881" w:rsidRDefault="00C96881" w:rsidP="00C9688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All the Financial Benchmark Administrators</w:t>
      </w:r>
    </w:p>
    <w:p w:rsidR="00C96881" w:rsidRDefault="00C96881" w:rsidP="00C9688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Madam/Sir</w:t>
      </w:r>
    </w:p>
    <w:p w:rsidR="00C96881" w:rsidRDefault="00C96881" w:rsidP="00C96881">
      <w:pPr>
        <w:pStyle w:val="head"/>
        <w:jc w:val="center"/>
        <w:rPr>
          <w:rFonts w:ascii="Arial" w:hAnsi="Arial" w:cs="Arial"/>
          <w:b/>
          <w:bCs/>
          <w:color w:val="000000"/>
          <w:sz w:val="20"/>
          <w:szCs w:val="20"/>
        </w:rPr>
      </w:pPr>
      <w:r>
        <w:rPr>
          <w:rFonts w:ascii="Arial" w:hAnsi="Arial" w:cs="Arial"/>
          <w:b/>
          <w:bCs/>
          <w:color w:val="000000"/>
          <w:sz w:val="20"/>
          <w:szCs w:val="20"/>
        </w:rPr>
        <w:t>Notification of Significant Benchmark</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159" w:tgtFrame="_blank" w:history="1">
        <w:r>
          <w:rPr>
            <w:rStyle w:val="Hyperlink"/>
            <w:rFonts w:ascii="Arial" w:hAnsi="Arial" w:cs="Arial"/>
            <w:sz w:val="20"/>
            <w:szCs w:val="20"/>
          </w:rPr>
          <w:t>Financial Benchmark Administrators (Reserve Bank) Directions, 2019 (hereinafter referred to as ‘the Directions’), dated June 26, 2019 </w:t>
        </w:r>
      </w:hyperlink>
      <w:r>
        <w:rPr>
          <w:rFonts w:ascii="Arial" w:hAnsi="Arial" w:cs="Arial"/>
          <w:color w:val="000000"/>
          <w:sz w:val="20"/>
          <w:szCs w:val="20"/>
        </w:rPr>
        <w:t>and </w:t>
      </w:r>
      <w:hyperlink r:id="rId160" w:tgtFrame="_blank" w:history="1">
        <w:r>
          <w:rPr>
            <w:rStyle w:val="Hyperlink"/>
            <w:rFonts w:ascii="Arial" w:hAnsi="Arial" w:cs="Arial"/>
            <w:sz w:val="20"/>
            <w:szCs w:val="20"/>
          </w:rPr>
          <w:t>RBI circular dated January 01, 2020</w:t>
        </w:r>
      </w:hyperlink>
      <w:r>
        <w:rPr>
          <w:rFonts w:ascii="Arial" w:hAnsi="Arial" w:cs="Arial"/>
          <w:color w:val="000000"/>
          <w:sz w:val="20"/>
          <w:szCs w:val="20"/>
        </w:rPr>
        <w:t xml:space="preserve">, notifying six financial benchmarks administered by Financial Benchmarks India </w:t>
      </w:r>
      <w:proofErr w:type="spellStart"/>
      <w:r>
        <w:rPr>
          <w:rFonts w:ascii="Arial" w:hAnsi="Arial" w:cs="Arial"/>
          <w:color w:val="000000"/>
          <w:sz w:val="20"/>
          <w:szCs w:val="20"/>
        </w:rPr>
        <w:t>Pvt.</w:t>
      </w:r>
      <w:proofErr w:type="spellEnd"/>
      <w:r>
        <w:rPr>
          <w:rFonts w:ascii="Arial" w:hAnsi="Arial" w:cs="Arial"/>
          <w:color w:val="000000"/>
          <w:sz w:val="20"/>
          <w:szCs w:val="20"/>
        </w:rPr>
        <w:t xml:space="preserve"> Ltd. (FBIL) as ‘significant benchmark’.</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 xml:space="preserve">2. In terms of paragraph 3(i) of the Directions, the Reserve Bank hereby notifies Modified Mumbai Interbank Forward Outright Rate (MMIFOR) administered by Financial Benchmarks India </w:t>
      </w:r>
      <w:proofErr w:type="spellStart"/>
      <w:r>
        <w:rPr>
          <w:rFonts w:ascii="Arial" w:hAnsi="Arial" w:cs="Arial"/>
          <w:color w:val="000000"/>
          <w:sz w:val="20"/>
          <w:szCs w:val="20"/>
        </w:rPr>
        <w:t>Pvt.</w:t>
      </w:r>
      <w:proofErr w:type="spellEnd"/>
      <w:r>
        <w:rPr>
          <w:rFonts w:ascii="Arial" w:hAnsi="Arial" w:cs="Arial"/>
          <w:color w:val="000000"/>
          <w:sz w:val="20"/>
          <w:szCs w:val="20"/>
        </w:rPr>
        <w:t xml:space="preserve"> Ltd. (FBIL) as a ‘significant benchmark’.</w:t>
      </w:r>
    </w:p>
    <w:p w:rsidR="00C96881" w:rsidRDefault="00C96881" w:rsidP="00C9688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3. The updated list of ‘significant benchmarks’ administered by FBIL is given below:</w:t>
      </w:r>
    </w:p>
    <w:p w:rsidR="00C96881" w:rsidRDefault="00C96881" w:rsidP="00C9688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 Overnight Mumbai Interbank Outright Rate (MIBOR)</w:t>
      </w:r>
    </w:p>
    <w:p w:rsidR="00C96881" w:rsidRDefault="00C96881" w:rsidP="00C9688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(ii) Mumbai Interbank Forward Outright Rate (MIFOR)</w:t>
      </w:r>
    </w:p>
    <w:p w:rsidR="00C96881" w:rsidRDefault="00C96881" w:rsidP="00C9688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(iii) USD/INR Reference Rate</w:t>
      </w:r>
    </w:p>
    <w:p w:rsidR="00C96881" w:rsidRDefault="00C96881" w:rsidP="00C9688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(iv) Treasury Bill Rates</w:t>
      </w:r>
    </w:p>
    <w:p w:rsidR="00C96881" w:rsidRDefault="00C96881" w:rsidP="00C9688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(v) Valuation of Government Securities</w:t>
      </w:r>
    </w:p>
    <w:p w:rsidR="00C96881" w:rsidRDefault="00C96881" w:rsidP="00C9688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(vi) Valuation of State Development Loans (SDL)</w:t>
      </w:r>
    </w:p>
    <w:p w:rsidR="00C96881" w:rsidRDefault="00C96881" w:rsidP="00C9688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(vii) Modified Mumbai Interbank Forward Outright Rate (MMIFOR)</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4. Further, in terms of paragraph 3(ii) of the Directions, the person administering the ‘significant benchmark’, shall make an application to the Reserve Bank within a period of three months from the date of this notification for authorization to continue administering MMIFOR.</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5. The MIFOR, administered by FBIL, shall continue to remain a ‘significant benchmark’ till further notice.</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6. This notification has been issued by the Reserve Bank as required under the </w:t>
      </w:r>
      <w:hyperlink r:id="rId161" w:tgtFrame="_blank" w:history="1">
        <w:r>
          <w:rPr>
            <w:rStyle w:val="Hyperlink"/>
            <w:rFonts w:ascii="Arial" w:hAnsi="Arial" w:cs="Arial"/>
            <w:sz w:val="20"/>
            <w:szCs w:val="20"/>
          </w:rPr>
          <w:t>Financial Benchmark Administrators (Reserve Bank) Directions, 2019, dated June 26, 2019</w:t>
        </w:r>
      </w:hyperlink>
      <w:r>
        <w:rPr>
          <w:rFonts w:ascii="Arial" w:hAnsi="Arial" w:cs="Arial"/>
          <w:color w:val="000000"/>
          <w:sz w:val="20"/>
          <w:szCs w:val="20"/>
        </w:rPr>
        <w:t>.</w:t>
      </w:r>
    </w:p>
    <w:p w:rsidR="00C96881" w:rsidRDefault="00C96881" w:rsidP="00C96881">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rsidR="00C96881" w:rsidRPr="00F81595" w:rsidRDefault="00C96881" w:rsidP="00C96881">
      <w:pPr>
        <w:pStyle w:val="NormalWeb"/>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rsidR="00C96881" w:rsidRDefault="00C96881" w:rsidP="00C96881">
      <w:pPr>
        <w:spacing w:after="0"/>
        <w:rPr>
          <w:rFonts w:ascii="Arial" w:hAnsi="Arial" w:cs="Arial"/>
          <w:sz w:val="20"/>
          <w:szCs w:val="20"/>
        </w:rPr>
      </w:pPr>
    </w:p>
    <w:p w:rsidR="00C96881" w:rsidRPr="00435B25" w:rsidRDefault="00C96881" w:rsidP="00C96881">
      <w:pPr>
        <w:spacing w:after="0"/>
        <w:rPr>
          <w:rFonts w:ascii="Arial" w:hAnsi="Arial" w:cs="Arial"/>
          <w:sz w:val="20"/>
          <w:szCs w:val="20"/>
        </w:rPr>
      </w:pPr>
      <w:r w:rsidRPr="00435B25">
        <w:rPr>
          <w:rFonts w:ascii="Arial" w:hAnsi="Arial" w:cs="Arial"/>
          <w:sz w:val="20"/>
          <w:szCs w:val="20"/>
        </w:rPr>
        <w:t>More details can be referred to in the below link.</w:t>
      </w:r>
    </w:p>
    <w:p w:rsidR="00C96881" w:rsidRDefault="00C96881" w:rsidP="00C96881">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162" w:anchor=":~:text=(FBIL)%20as%20a%20'significant%20benchmark'.&amp;text=4.,authorization%20to%20continue%20administering%20MMIFOR" w:history="1">
        <w:r w:rsidRPr="00200311">
          <w:rPr>
            <w:rStyle w:val="Hyperlink"/>
            <w:rFonts w:ascii="Arial" w:hAnsi="Arial" w:cs="Arial"/>
            <w:sz w:val="20"/>
            <w:szCs w:val="20"/>
          </w:rPr>
          <w:t>https://m.rbi.org.in/scripts/FS_Notification.aspx?Id=12414&amp;fn=6&amp;Mode=0#:~:text=(FBIL)%20as%20a%20'significant%20benchmark'.&amp;text=4.,authorization%20to%20continue%20administering%20MMIFOR</w:t>
        </w:r>
      </w:hyperlink>
      <w:r w:rsidRPr="005A38FC">
        <w:rPr>
          <w:rFonts w:ascii="Arial" w:hAnsi="Arial" w:cs="Arial"/>
          <w:sz w:val="20"/>
          <w:szCs w:val="20"/>
        </w:rPr>
        <w:t>.</w:t>
      </w:r>
    </w:p>
    <w:p w:rsidR="00C96881" w:rsidRDefault="00C96881" w:rsidP="00C96881">
      <w:pPr>
        <w:spacing w:after="0"/>
        <w:rPr>
          <w:rFonts w:ascii="Arial" w:hAnsi="Arial" w:cs="Arial"/>
          <w:b/>
          <w:bCs/>
          <w:color w:val="000000"/>
          <w:sz w:val="20"/>
          <w:szCs w:val="20"/>
        </w:rPr>
      </w:pPr>
    </w:p>
    <w:p w:rsidR="00C96881" w:rsidRDefault="00C96881" w:rsidP="00C96881">
      <w:pPr>
        <w:spacing w:after="0"/>
        <w:rPr>
          <w:rFonts w:ascii="Arial" w:hAnsi="Arial" w:cs="Arial"/>
          <w:b/>
          <w:bCs/>
          <w:color w:val="000000"/>
          <w:sz w:val="20"/>
          <w:szCs w:val="20"/>
        </w:rPr>
      </w:pPr>
    </w:p>
    <w:p w:rsidR="00C96881" w:rsidRDefault="00C96881" w:rsidP="0001090D">
      <w:pPr>
        <w:rPr>
          <w:rFonts w:ascii="Arial" w:hAnsi="Arial" w:cs="Arial"/>
          <w:bCs/>
          <w:color w:val="000000"/>
          <w:sz w:val="20"/>
          <w:szCs w:val="20"/>
        </w:rPr>
      </w:pPr>
    </w:p>
    <w:p w:rsidR="00C96881" w:rsidRDefault="00C96881" w:rsidP="0001090D">
      <w:pPr>
        <w:rPr>
          <w:rFonts w:ascii="Arial" w:hAnsi="Arial" w:cs="Arial"/>
          <w:bCs/>
          <w:color w:val="000000"/>
          <w:sz w:val="20"/>
          <w:szCs w:val="20"/>
        </w:rPr>
      </w:pPr>
    </w:p>
    <w:p w:rsidR="00C96881" w:rsidRDefault="00C96881" w:rsidP="00C96881">
      <w:pPr>
        <w:rPr>
          <w:rFonts w:ascii="Arial" w:hAnsi="Arial" w:cs="Arial"/>
          <w:b/>
          <w:bCs/>
          <w:color w:val="000000"/>
          <w:sz w:val="20"/>
          <w:szCs w:val="20"/>
        </w:rPr>
      </w:pPr>
      <w:r>
        <w:rPr>
          <w:rFonts w:ascii="Arial" w:hAnsi="Arial" w:cs="Arial"/>
          <w:b/>
          <w:bCs/>
          <w:color w:val="000000"/>
          <w:sz w:val="20"/>
          <w:szCs w:val="20"/>
        </w:rPr>
        <w:t>Review of norms for classification of Urban Co-operative Banks (UCBs) as Financially Sound and Well Managed (FSWM)</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RBI/2022-23/143</w:t>
      </w:r>
      <w:r>
        <w:rPr>
          <w:rFonts w:ascii="Arial" w:hAnsi="Arial" w:cs="Arial"/>
          <w:color w:val="000000"/>
          <w:sz w:val="20"/>
          <w:szCs w:val="20"/>
        </w:rPr>
        <w:br/>
        <w:t>DOR.REG.No.85/07.01.000/2022-23</w:t>
      </w:r>
    </w:p>
    <w:p w:rsidR="00C96881" w:rsidRDefault="00C96881" w:rsidP="00C96881">
      <w:pPr>
        <w:pStyle w:val="NormalWeb"/>
        <w:jc w:val="right"/>
        <w:rPr>
          <w:rFonts w:ascii="Arial" w:hAnsi="Arial" w:cs="Arial"/>
          <w:color w:val="000000"/>
          <w:sz w:val="20"/>
          <w:szCs w:val="20"/>
        </w:rPr>
      </w:pPr>
      <w:r>
        <w:rPr>
          <w:rFonts w:ascii="Arial" w:hAnsi="Arial" w:cs="Arial"/>
          <w:color w:val="000000"/>
          <w:sz w:val="20"/>
          <w:szCs w:val="20"/>
        </w:rPr>
        <w:t>December 01, 2022</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Madam / Sir</w:t>
      </w:r>
    </w:p>
    <w:p w:rsidR="00C96881" w:rsidRDefault="00C96881" w:rsidP="00C96881">
      <w:pPr>
        <w:pStyle w:val="head"/>
        <w:jc w:val="both"/>
        <w:rPr>
          <w:rFonts w:ascii="Arial" w:hAnsi="Arial" w:cs="Arial"/>
          <w:b/>
          <w:bCs/>
          <w:color w:val="000000"/>
          <w:sz w:val="20"/>
          <w:szCs w:val="20"/>
        </w:rPr>
      </w:pPr>
      <w:r>
        <w:rPr>
          <w:rFonts w:ascii="Arial" w:hAnsi="Arial" w:cs="Arial"/>
          <w:b/>
          <w:bCs/>
          <w:color w:val="000000"/>
          <w:sz w:val="20"/>
          <w:szCs w:val="20"/>
        </w:rPr>
        <w:t>Review of norms for classification of Urban Co-operative Banks (UCBs) as Financially Sound and Well Managed (FSWM)</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 xml:space="preserve">In order to ensure a financially sound and stable co-operative sector, select UCBs are termed as Financially Sound and Well Managed (FSWM) subject to </w:t>
      </w:r>
      <w:proofErr w:type="spellStart"/>
      <w:r>
        <w:rPr>
          <w:rFonts w:ascii="Arial" w:hAnsi="Arial" w:cs="Arial"/>
          <w:color w:val="000000"/>
          <w:sz w:val="20"/>
          <w:szCs w:val="20"/>
        </w:rPr>
        <w:t>fulfillment</w:t>
      </w:r>
      <w:proofErr w:type="spellEnd"/>
      <w:r>
        <w:rPr>
          <w:rFonts w:ascii="Arial" w:hAnsi="Arial" w:cs="Arial"/>
          <w:color w:val="000000"/>
          <w:sz w:val="20"/>
          <w:szCs w:val="20"/>
        </w:rPr>
        <w:t xml:space="preserve"> of certain parameters. In this context, a reference is made to our </w:t>
      </w:r>
      <w:hyperlink r:id="rId163" w:tgtFrame="_blank" w:history="1">
        <w:r>
          <w:rPr>
            <w:rStyle w:val="Hyperlink"/>
            <w:rFonts w:ascii="Arial" w:hAnsi="Arial" w:cs="Arial"/>
            <w:sz w:val="20"/>
            <w:szCs w:val="20"/>
          </w:rPr>
          <w:t>circular DCBR.CO.LS (PCB) Cir.No.4/07.01.000/2014-15 dated January 28, 2015</w:t>
        </w:r>
      </w:hyperlink>
      <w:r>
        <w:rPr>
          <w:rFonts w:ascii="Arial" w:hAnsi="Arial" w:cs="Arial"/>
          <w:color w:val="000000"/>
          <w:sz w:val="20"/>
          <w:szCs w:val="20"/>
        </w:rPr>
        <w:t> on “Review of norms for classification of Urban Co-operative Banks (UCBs) as Financially Sound and Well Managed (FSWM)” for criteria prescribed for considering the UCBs as FSWM.</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2. It has been decided to revise the criteria for UCBs to be classified as FSWM. The revised criteria in view of </w:t>
      </w:r>
      <w:hyperlink r:id="rId164" w:tgtFrame="_blank" w:history="1">
        <w:r>
          <w:rPr>
            <w:rStyle w:val="Hyperlink"/>
            <w:rFonts w:ascii="Arial" w:hAnsi="Arial" w:cs="Arial"/>
            <w:sz w:val="20"/>
            <w:szCs w:val="20"/>
          </w:rPr>
          <w:t>Revised Regulatory Framework for Urban Co-operative Banks (UCBs) released by RBI on July 19, 2022</w:t>
        </w:r>
      </w:hyperlink>
      <w:r>
        <w:rPr>
          <w:rFonts w:ascii="Arial" w:hAnsi="Arial" w:cs="Arial"/>
          <w:color w:val="000000"/>
          <w:sz w:val="20"/>
          <w:szCs w:val="20"/>
        </w:rPr>
        <w:t> based on the recommendation of the </w:t>
      </w:r>
      <w:hyperlink r:id="rId165" w:tgtFrame="_blank" w:history="1">
        <w:r>
          <w:rPr>
            <w:rStyle w:val="Hyperlink"/>
            <w:rFonts w:ascii="Arial" w:hAnsi="Arial" w:cs="Arial"/>
            <w:sz w:val="20"/>
            <w:szCs w:val="20"/>
          </w:rPr>
          <w:t>Expert Committee on Primary (Urban) Co-operative Banks</w:t>
        </w:r>
      </w:hyperlink>
      <w:r>
        <w:rPr>
          <w:rFonts w:ascii="Arial" w:hAnsi="Arial" w:cs="Arial"/>
          <w:color w:val="000000"/>
          <w:sz w:val="20"/>
          <w:szCs w:val="20"/>
        </w:rPr>
        <w:t> are given in the </w:t>
      </w:r>
      <w:hyperlink r:id="rId166" w:anchor="AN1" w:history="1">
        <w:r>
          <w:rPr>
            <w:rStyle w:val="Hyperlink"/>
            <w:rFonts w:ascii="Arial" w:hAnsi="Arial" w:cs="Arial"/>
            <w:sz w:val="20"/>
            <w:szCs w:val="20"/>
          </w:rPr>
          <w:t>Annex</w:t>
        </w:r>
      </w:hyperlink>
      <w:r>
        <w:rPr>
          <w:rFonts w:ascii="Arial" w:hAnsi="Arial" w:cs="Arial"/>
          <w:color w:val="000000"/>
          <w:sz w:val="20"/>
          <w:szCs w:val="20"/>
        </w:rPr>
        <w:t>.</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3. Further, the UCBs are now permitted to classify themselves as FSWM based on this revised FSWM criteria.</w:t>
      </w:r>
    </w:p>
    <w:p w:rsidR="00C96881" w:rsidRDefault="00C96881" w:rsidP="00C96881">
      <w:pPr>
        <w:pStyle w:val="head"/>
        <w:jc w:val="both"/>
        <w:rPr>
          <w:rFonts w:ascii="Arial" w:hAnsi="Arial" w:cs="Arial"/>
          <w:b/>
          <w:bCs/>
          <w:color w:val="000000"/>
          <w:sz w:val="20"/>
          <w:szCs w:val="20"/>
        </w:rPr>
      </w:pPr>
      <w:r>
        <w:rPr>
          <w:rFonts w:ascii="Arial" w:hAnsi="Arial" w:cs="Arial"/>
          <w:b/>
          <w:bCs/>
          <w:color w:val="000000"/>
          <w:sz w:val="20"/>
          <w:szCs w:val="20"/>
        </w:rPr>
        <w:t>Commencement</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4. The revised instructions shall be applicable with immediate effect.</w:t>
      </w:r>
    </w:p>
    <w:p w:rsidR="00C96881" w:rsidRDefault="00C96881" w:rsidP="00C96881">
      <w:pPr>
        <w:pStyle w:val="head"/>
        <w:jc w:val="both"/>
        <w:rPr>
          <w:rFonts w:ascii="Arial" w:hAnsi="Arial" w:cs="Arial"/>
          <w:b/>
          <w:bCs/>
          <w:color w:val="000000"/>
          <w:sz w:val="20"/>
          <w:szCs w:val="20"/>
        </w:rPr>
      </w:pPr>
      <w:r>
        <w:rPr>
          <w:rFonts w:ascii="Arial" w:hAnsi="Arial" w:cs="Arial"/>
          <w:b/>
          <w:bCs/>
          <w:color w:val="000000"/>
          <w:sz w:val="20"/>
          <w:szCs w:val="20"/>
        </w:rPr>
        <w:t>Applicability</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5. This circular is applicable to all Primary (Urban) Co-operative Banks.</w:t>
      </w:r>
    </w:p>
    <w:p w:rsidR="00C96881" w:rsidRDefault="00C96881" w:rsidP="00C96881">
      <w:pPr>
        <w:pStyle w:val="NormalWeb"/>
        <w:rPr>
          <w:rFonts w:ascii="Arial" w:hAnsi="Arial" w:cs="Arial"/>
          <w:color w:val="000000"/>
          <w:sz w:val="20"/>
          <w:szCs w:val="20"/>
        </w:rPr>
      </w:pPr>
      <w:r>
        <w:rPr>
          <w:rFonts w:ascii="Arial" w:hAnsi="Arial" w:cs="Arial"/>
          <w:color w:val="000000"/>
          <w:sz w:val="20"/>
          <w:szCs w:val="20"/>
        </w:rPr>
        <w:t xml:space="preserve">(Prakash </w:t>
      </w:r>
      <w:proofErr w:type="spellStart"/>
      <w:r>
        <w:rPr>
          <w:rFonts w:ascii="Arial" w:hAnsi="Arial" w:cs="Arial"/>
          <w:color w:val="000000"/>
          <w:sz w:val="20"/>
          <w:szCs w:val="20"/>
        </w:rPr>
        <w:t>Baliarsingh</w:t>
      </w:r>
      <w:proofErr w:type="spellEnd"/>
      <w:r>
        <w:rPr>
          <w:rFonts w:ascii="Arial" w:hAnsi="Arial" w:cs="Arial"/>
          <w:color w:val="000000"/>
          <w:sz w:val="20"/>
          <w:szCs w:val="20"/>
        </w:rPr>
        <w:t>)</w:t>
      </w:r>
      <w:r>
        <w:rPr>
          <w:rFonts w:ascii="Arial" w:hAnsi="Arial" w:cs="Arial"/>
          <w:color w:val="000000"/>
          <w:sz w:val="20"/>
          <w:szCs w:val="20"/>
        </w:rPr>
        <w:br/>
        <w:t>Chief General Manager</w:t>
      </w:r>
    </w:p>
    <w:p w:rsidR="00C96881" w:rsidRDefault="00C96881" w:rsidP="00C96881">
      <w:pPr>
        <w:rPr>
          <w:rFonts w:ascii="Arial" w:hAnsi="Arial" w:cs="Arial"/>
          <w:sz w:val="20"/>
          <w:szCs w:val="20"/>
        </w:rPr>
      </w:pPr>
    </w:p>
    <w:p w:rsidR="00C96881" w:rsidRDefault="00C96881" w:rsidP="00C96881">
      <w:pPr>
        <w:rPr>
          <w:rFonts w:ascii="Arial" w:hAnsi="Arial" w:cs="Arial"/>
          <w:sz w:val="20"/>
          <w:szCs w:val="20"/>
        </w:rPr>
      </w:pPr>
    </w:p>
    <w:p w:rsidR="00C96881" w:rsidRDefault="00C96881" w:rsidP="00C96881">
      <w:pPr>
        <w:rPr>
          <w:rFonts w:ascii="Arial" w:hAnsi="Arial" w:cs="Arial"/>
          <w:sz w:val="20"/>
          <w:szCs w:val="20"/>
        </w:rPr>
      </w:pPr>
    </w:p>
    <w:p w:rsidR="00C96881" w:rsidRDefault="00C96881" w:rsidP="00C96881">
      <w:r>
        <w:t>More details can be referred to in the below link.</w:t>
      </w:r>
    </w:p>
    <w:p w:rsidR="00C96881" w:rsidRDefault="00C96881" w:rsidP="00C96881">
      <w:pPr>
        <w:rPr>
          <w:rFonts w:ascii="Arial" w:hAnsi="Arial" w:cs="Arial"/>
          <w:bCs/>
          <w:color w:val="000000"/>
          <w:sz w:val="20"/>
          <w:szCs w:val="20"/>
        </w:rPr>
      </w:pPr>
      <w:r>
        <w:rPr>
          <w:rFonts w:ascii="Arial" w:hAnsi="Arial" w:cs="Arial"/>
          <w:bCs/>
          <w:color w:val="000000"/>
          <w:sz w:val="20"/>
          <w:szCs w:val="20"/>
        </w:rPr>
        <w:t xml:space="preserve">Reference Link: </w:t>
      </w:r>
      <w:hyperlink r:id="rId167" w:history="1">
        <w:r w:rsidRPr="00735218">
          <w:rPr>
            <w:rStyle w:val="Hyperlink"/>
            <w:rFonts w:ascii="Arial" w:hAnsi="Arial" w:cs="Arial"/>
            <w:bCs/>
            <w:sz w:val="20"/>
            <w:szCs w:val="20"/>
          </w:rPr>
          <w:t>https://www.rbi.org.in/Scripts/NotificationUser.aspx?Id=12415&amp;Mode=0</w:t>
        </w:r>
      </w:hyperlink>
    </w:p>
    <w:p w:rsidR="00C96881" w:rsidRDefault="00C96881" w:rsidP="00C96881">
      <w:pPr>
        <w:rPr>
          <w:rFonts w:ascii="Arial" w:hAnsi="Arial" w:cs="Arial"/>
          <w:bCs/>
          <w:color w:val="000000"/>
          <w:sz w:val="20"/>
          <w:szCs w:val="20"/>
        </w:rPr>
      </w:pPr>
    </w:p>
    <w:p w:rsidR="00C96881" w:rsidRDefault="00C96881" w:rsidP="00C96881">
      <w:pPr>
        <w:rPr>
          <w:rFonts w:ascii="Arial" w:hAnsi="Arial" w:cs="Arial"/>
          <w:bCs/>
          <w:color w:val="000000"/>
          <w:sz w:val="20"/>
          <w:szCs w:val="20"/>
        </w:rPr>
      </w:pPr>
    </w:p>
    <w:p w:rsidR="00C96881" w:rsidRDefault="00C96881" w:rsidP="00C96881">
      <w:pPr>
        <w:rPr>
          <w:rFonts w:ascii="Arial" w:hAnsi="Arial" w:cs="Arial"/>
          <w:bCs/>
          <w:color w:val="000000"/>
          <w:sz w:val="20"/>
          <w:szCs w:val="20"/>
        </w:rPr>
      </w:pPr>
    </w:p>
    <w:p w:rsidR="00C96881" w:rsidRDefault="00C96881" w:rsidP="00C96881">
      <w:pPr>
        <w:rPr>
          <w:rFonts w:ascii="Arial" w:hAnsi="Arial" w:cs="Arial"/>
          <w:bCs/>
          <w:color w:val="000000"/>
          <w:sz w:val="20"/>
          <w:szCs w:val="20"/>
        </w:rPr>
      </w:pPr>
    </w:p>
    <w:p w:rsidR="00C96881" w:rsidRDefault="00C96881" w:rsidP="0001090D">
      <w:pPr>
        <w:rPr>
          <w:rFonts w:ascii="Arial" w:hAnsi="Arial" w:cs="Arial"/>
          <w:bCs/>
          <w:color w:val="000000"/>
          <w:sz w:val="20"/>
          <w:szCs w:val="20"/>
        </w:rPr>
      </w:pPr>
    </w:p>
    <w:p w:rsidR="00C96881" w:rsidRDefault="00C96881" w:rsidP="00C96881">
      <w:pPr>
        <w:rPr>
          <w:rFonts w:ascii="Arial" w:hAnsi="Arial" w:cs="Arial"/>
          <w:b/>
          <w:bCs/>
          <w:color w:val="000000"/>
          <w:sz w:val="20"/>
          <w:szCs w:val="20"/>
        </w:rPr>
      </w:pPr>
      <w:r>
        <w:rPr>
          <w:rFonts w:ascii="Arial" w:hAnsi="Arial" w:cs="Arial"/>
          <w:b/>
          <w:bCs/>
          <w:color w:val="000000"/>
          <w:sz w:val="20"/>
          <w:szCs w:val="20"/>
        </w:rPr>
        <w:t>Revised Regulatory Framework - Categorization of Urban Co-operative Banks (UCBs) for Regulatory Purposes</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RBI/2022-23/144</w:t>
      </w:r>
      <w:r>
        <w:rPr>
          <w:rFonts w:ascii="Arial" w:hAnsi="Arial" w:cs="Arial"/>
          <w:color w:val="000000"/>
          <w:sz w:val="20"/>
          <w:szCs w:val="20"/>
        </w:rPr>
        <w:br/>
        <w:t>DOR.REG.No.84/07.01.000/2022-23</w:t>
      </w:r>
    </w:p>
    <w:p w:rsidR="00C96881" w:rsidRDefault="00C96881" w:rsidP="00C96881">
      <w:pPr>
        <w:pStyle w:val="NormalWeb"/>
        <w:jc w:val="right"/>
        <w:rPr>
          <w:rFonts w:ascii="Arial" w:hAnsi="Arial" w:cs="Arial"/>
          <w:color w:val="000000"/>
          <w:sz w:val="20"/>
          <w:szCs w:val="20"/>
        </w:rPr>
      </w:pPr>
      <w:r>
        <w:rPr>
          <w:rFonts w:ascii="Arial" w:hAnsi="Arial" w:cs="Arial"/>
          <w:color w:val="000000"/>
          <w:sz w:val="20"/>
          <w:szCs w:val="20"/>
        </w:rPr>
        <w:t>December 01, 2022</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Madam / Sir</w:t>
      </w:r>
    </w:p>
    <w:p w:rsidR="00C96881" w:rsidRDefault="00C96881" w:rsidP="00C96881">
      <w:pPr>
        <w:pStyle w:val="head"/>
        <w:jc w:val="both"/>
        <w:rPr>
          <w:rFonts w:ascii="Arial" w:hAnsi="Arial" w:cs="Arial"/>
          <w:b/>
          <w:bCs/>
          <w:color w:val="000000"/>
          <w:sz w:val="20"/>
          <w:szCs w:val="20"/>
        </w:rPr>
      </w:pPr>
      <w:r>
        <w:rPr>
          <w:rFonts w:ascii="Arial" w:hAnsi="Arial" w:cs="Arial"/>
          <w:b/>
          <w:bCs/>
          <w:color w:val="000000"/>
          <w:sz w:val="20"/>
          <w:szCs w:val="20"/>
        </w:rPr>
        <w:t>Revised Regulatory Framework - Categorization of Urban Co-operative Banks (UCBs) for Regulatory Purposes</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Given the heterogeneity in the cooperative sector, a tiered regulatory framework is required to balance the spirit of mutuality and co-operation more prevalent in banks of smaller sizes and those with limited area of operation vis-à-vis the growth ambitions of the large-sized UCBs to spread their area of operation and undertake more complex business activities.</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2. The Reserve Bank of India had constituted the </w:t>
      </w:r>
      <w:hyperlink r:id="rId168" w:tgtFrame="_blank" w:history="1">
        <w:r>
          <w:rPr>
            <w:rStyle w:val="Hyperlink"/>
            <w:rFonts w:ascii="Arial" w:hAnsi="Arial" w:cs="Arial"/>
            <w:sz w:val="20"/>
            <w:szCs w:val="20"/>
          </w:rPr>
          <w:t>Expert Committee on Urban Co-operative Banks</w:t>
        </w:r>
      </w:hyperlink>
      <w:r>
        <w:rPr>
          <w:rFonts w:ascii="Arial" w:hAnsi="Arial" w:cs="Arial"/>
          <w:color w:val="000000"/>
          <w:sz w:val="20"/>
          <w:szCs w:val="20"/>
        </w:rPr>
        <w:t> to examine the issues in urban cooperative banking sector and to review regulatory/ supervisory approach for strengthening the sector. Based on the recommendations of the Expert Committee, RBI had released the </w:t>
      </w:r>
      <w:hyperlink r:id="rId169" w:tgtFrame="_blank" w:history="1">
        <w:r>
          <w:rPr>
            <w:rStyle w:val="Hyperlink"/>
            <w:rFonts w:ascii="Arial" w:hAnsi="Arial" w:cs="Arial"/>
            <w:sz w:val="20"/>
            <w:szCs w:val="20"/>
          </w:rPr>
          <w:t>Revised Regulatory Framework for Urban Co-operative Banks (UCBs) on July 19, 2022</w:t>
        </w:r>
      </w:hyperlink>
      <w:r>
        <w:rPr>
          <w:rFonts w:ascii="Arial" w:hAnsi="Arial" w:cs="Arial"/>
          <w:color w:val="000000"/>
          <w:sz w:val="20"/>
          <w:szCs w:val="20"/>
        </w:rPr>
        <w:t>.</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3. Accordingly, it has been decided to adopt a four-tiered regulatory framework, as against the existing two-tiered framework, for categorization of UCBs. Going forward, this categorization may be used for differentiated regulatory prescriptions aimed at strengthening the financial soundness of the UCBs.</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4. The categorization of UCBs, based on their deposit size, is enclosed in </w:t>
      </w:r>
      <w:hyperlink r:id="rId170" w:anchor="AN1" w:history="1">
        <w:r>
          <w:rPr>
            <w:rStyle w:val="Hyperlink"/>
            <w:rFonts w:ascii="Arial" w:hAnsi="Arial" w:cs="Arial"/>
            <w:sz w:val="20"/>
            <w:szCs w:val="20"/>
          </w:rPr>
          <w:t>Annex</w:t>
        </w:r>
      </w:hyperlink>
      <w:r>
        <w:rPr>
          <w:rFonts w:ascii="Arial" w:hAnsi="Arial" w:cs="Arial"/>
          <w:color w:val="000000"/>
          <w:sz w:val="20"/>
          <w:szCs w:val="20"/>
        </w:rPr>
        <w:t>.</w:t>
      </w:r>
    </w:p>
    <w:p w:rsidR="00C96881" w:rsidRDefault="00C96881" w:rsidP="00C96881">
      <w:pPr>
        <w:pStyle w:val="head"/>
        <w:jc w:val="both"/>
        <w:rPr>
          <w:rFonts w:ascii="Arial" w:hAnsi="Arial" w:cs="Arial"/>
          <w:b/>
          <w:bCs/>
          <w:color w:val="000000"/>
          <w:sz w:val="20"/>
          <w:szCs w:val="20"/>
        </w:rPr>
      </w:pPr>
      <w:r>
        <w:rPr>
          <w:rFonts w:ascii="Arial" w:hAnsi="Arial" w:cs="Arial"/>
          <w:b/>
          <w:bCs/>
          <w:color w:val="000000"/>
          <w:sz w:val="20"/>
          <w:szCs w:val="20"/>
        </w:rPr>
        <w:t>Commencement</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5. The instructions shall be applicable with immediate effect.</w:t>
      </w:r>
    </w:p>
    <w:p w:rsidR="00C96881" w:rsidRDefault="00C96881" w:rsidP="00C96881">
      <w:pPr>
        <w:pStyle w:val="head"/>
        <w:jc w:val="both"/>
        <w:rPr>
          <w:rFonts w:ascii="Arial" w:hAnsi="Arial" w:cs="Arial"/>
          <w:b/>
          <w:bCs/>
          <w:color w:val="000000"/>
          <w:sz w:val="20"/>
          <w:szCs w:val="20"/>
        </w:rPr>
      </w:pPr>
      <w:r>
        <w:rPr>
          <w:rFonts w:ascii="Arial" w:hAnsi="Arial" w:cs="Arial"/>
          <w:b/>
          <w:bCs/>
          <w:color w:val="000000"/>
          <w:sz w:val="20"/>
          <w:szCs w:val="20"/>
        </w:rPr>
        <w:t>Applicability</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6. This circular is applicable to all Primary (Urban) Co-operative Banks.</w:t>
      </w:r>
    </w:p>
    <w:p w:rsidR="00C96881" w:rsidRDefault="00C96881" w:rsidP="00C96881">
      <w:pPr>
        <w:pStyle w:val="NormalWeb"/>
        <w:rPr>
          <w:rFonts w:ascii="Arial" w:hAnsi="Arial" w:cs="Arial"/>
          <w:color w:val="000000"/>
          <w:sz w:val="20"/>
          <w:szCs w:val="20"/>
        </w:rPr>
      </w:pPr>
      <w:r>
        <w:rPr>
          <w:rFonts w:ascii="Arial" w:hAnsi="Arial" w:cs="Arial"/>
          <w:color w:val="000000"/>
          <w:sz w:val="20"/>
          <w:szCs w:val="20"/>
        </w:rPr>
        <w:t xml:space="preserve">(Prakash </w:t>
      </w:r>
      <w:proofErr w:type="spellStart"/>
      <w:r>
        <w:rPr>
          <w:rFonts w:ascii="Arial" w:hAnsi="Arial" w:cs="Arial"/>
          <w:color w:val="000000"/>
          <w:sz w:val="20"/>
          <w:szCs w:val="20"/>
        </w:rPr>
        <w:t>Baliarsingh</w:t>
      </w:r>
      <w:proofErr w:type="spellEnd"/>
      <w:r>
        <w:rPr>
          <w:rFonts w:ascii="Arial" w:hAnsi="Arial" w:cs="Arial"/>
          <w:color w:val="000000"/>
          <w:sz w:val="20"/>
          <w:szCs w:val="20"/>
        </w:rPr>
        <w:t>)</w:t>
      </w:r>
      <w:r>
        <w:rPr>
          <w:rFonts w:ascii="Arial" w:hAnsi="Arial" w:cs="Arial"/>
          <w:color w:val="000000"/>
          <w:sz w:val="20"/>
          <w:szCs w:val="20"/>
        </w:rPr>
        <w:br/>
        <w:t>Chief General Manager</w:t>
      </w:r>
    </w:p>
    <w:p w:rsidR="00C96881" w:rsidRDefault="00C96881" w:rsidP="00C96881">
      <w:pPr>
        <w:rPr>
          <w:rFonts w:ascii="Arial" w:hAnsi="Arial" w:cs="Arial"/>
          <w:sz w:val="20"/>
          <w:szCs w:val="20"/>
        </w:rPr>
      </w:pPr>
    </w:p>
    <w:p w:rsidR="00C96881" w:rsidRDefault="00C96881" w:rsidP="00C96881">
      <w:pPr>
        <w:rPr>
          <w:rFonts w:ascii="Arial" w:hAnsi="Arial" w:cs="Arial"/>
          <w:sz w:val="20"/>
          <w:szCs w:val="20"/>
        </w:rPr>
      </w:pPr>
    </w:p>
    <w:p w:rsidR="00C96881" w:rsidRDefault="00C96881" w:rsidP="00C96881">
      <w:r>
        <w:t>More details can be referred to in the below link.</w:t>
      </w:r>
    </w:p>
    <w:p w:rsidR="00C96881" w:rsidRDefault="00C96881" w:rsidP="00C96881">
      <w:pPr>
        <w:rPr>
          <w:rFonts w:ascii="Arial" w:hAnsi="Arial" w:cs="Arial"/>
          <w:bCs/>
          <w:color w:val="000000"/>
          <w:sz w:val="20"/>
          <w:szCs w:val="20"/>
        </w:rPr>
      </w:pPr>
      <w:r>
        <w:rPr>
          <w:rFonts w:ascii="Arial" w:hAnsi="Arial" w:cs="Arial"/>
          <w:bCs/>
          <w:color w:val="000000"/>
          <w:sz w:val="20"/>
          <w:szCs w:val="20"/>
        </w:rPr>
        <w:t xml:space="preserve">Reference Link: </w:t>
      </w:r>
      <w:hyperlink r:id="rId171" w:history="1">
        <w:r w:rsidRPr="00735218">
          <w:rPr>
            <w:rStyle w:val="Hyperlink"/>
            <w:rFonts w:ascii="Arial" w:hAnsi="Arial" w:cs="Arial"/>
            <w:bCs/>
            <w:sz w:val="20"/>
            <w:szCs w:val="20"/>
          </w:rPr>
          <w:t>https://m.rbi.org.in/scripts/FS_Notification.aspx?Id=12416&amp;fn=2755&amp;Mode=0</w:t>
        </w:r>
      </w:hyperlink>
    </w:p>
    <w:p w:rsidR="00C96881" w:rsidRDefault="00C96881" w:rsidP="00C96881">
      <w:pPr>
        <w:rPr>
          <w:rFonts w:ascii="Arial" w:hAnsi="Arial" w:cs="Arial"/>
          <w:bCs/>
          <w:color w:val="000000"/>
          <w:sz w:val="20"/>
          <w:szCs w:val="20"/>
        </w:rPr>
      </w:pPr>
    </w:p>
    <w:p w:rsidR="00C96881" w:rsidRDefault="00C96881" w:rsidP="00C96881">
      <w:pPr>
        <w:rPr>
          <w:rFonts w:ascii="Arial" w:hAnsi="Arial" w:cs="Arial"/>
          <w:bCs/>
          <w:color w:val="000000"/>
          <w:sz w:val="20"/>
          <w:szCs w:val="20"/>
        </w:rPr>
      </w:pPr>
    </w:p>
    <w:p w:rsidR="00C96881" w:rsidRDefault="00C96881" w:rsidP="00C96881">
      <w:pPr>
        <w:rPr>
          <w:rFonts w:ascii="Arial" w:hAnsi="Arial" w:cs="Arial"/>
          <w:b/>
          <w:bCs/>
          <w:color w:val="000000"/>
          <w:sz w:val="20"/>
          <w:szCs w:val="20"/>
        </w:rPr>
      </w:pPr>
    </w:p>
    <w:p w:rsidR="00C96881" w:rsidRDefault="00C96881" w:rsidP="00C96881">
      <w:pPr>
        <w:rPr>
          <w:rFonts w:ascii="Arial" w:hAnsi="Arial" w:cs="Arial"/>
          <w:b/>
          <w:bCs/>
          <w:color w:val="000000"/>
          <w:sz w:val="20"/>
          <w:szCs w:val="20"/>
        </w:rPr>
      </w:pPr>
    </w:p>
    <w:p w:rsidR="00C96881" w:rsidRDefault="00C96881" w:rsidP="0001090D">
      <w:pPr>
        <w:rPr>
          <w:rFonts w:ascii="Arial" w:hAnsi="Arial" w:cs="Arial"/>
          <w:bCs/>
          <w:color w:val="000000"/>
          <w:sz w:val="20"/>
          <w:szCs w:val="20"/>
        </w:rPr>
      </w:pPr>
    </w:p>
    <w:p w:rsidR="00C96881" w:rsidRDefault="00C96881" w:rsidP="0001090D">
      <w:pPr>
        <w:rPr>
          <w:rFonts w:ascii="Arial" w:hAnsi="Arial" w:cs="Arial"/>
          <w:bCs/>
          <w:color w:val="000000"/>
          <w:sz w:val="20"/>
          <w:szCs w:val="20"/>
        </w:rPr>
      </w:pPr>
    </w:p>
    <w:p w:rsidR="00C96881" w:rsidRDefault="00C96881" w:rsidP="00C96881">
      <w:pPr>
        <w:spacing w:after="0"/>
        <w:rPr>
          <w:rFonts w:ascii="Arial" w:hAnsi="Arial" w:cs="Arial"/>
          <w:b/>
          <w:bCs/>
          <w:color w:val="000000"/>
          <w:sz w:val="20"/>
          <w:szCs w:val="20"/>
        </w:rPr>
      </w:pPr>
      <w:r>
        <w:rPr>
          <w:rFonts w:ascii="Arial" w:hAnsi="Arial" w:cs="Arial"/>
          <w:b/>
          <w:bCs/>
          <w:color w:val="000000"/>
          <w:sz w:val="20"/>
          <w:szCs w:val="20"/>
        </w:rPr>
        <w:t xml:space="preserve">Operations of subsidiaries and branches of Indian banks and All India Financial Institutions (AIFIs) in foreign jurisdictions and in International Financial Services </w:t>
      </w:r>
      <w:proofErr w:type="spellStart"/>
      <w:r>
        <w:rPr>
          <w:rFonts w:ascii="Arial" w:hAnsi="Arial" w:cs="Arial"/>
          <w:b/>
          <w:bCs/>
          <w:color w:val="000000"/>
          <w:sz w:val="20"/>
          <w:szCs w:val="20"/>
        </w:rPr>
        <w:t>Centers</w:t>
      </w:r>
      <w:proofErr w:type="spellEnd"/>
      <w:r>
        <w:rPr>
          <w:rFonts w:ascii="Arial" w:hAnsi="Arial" w:cs="Arial"/>
          <w:b/>
          <w:bCs/>
          <w:color w:val="000000"/>
          <w:sz w:val="20"/>
          <w:szCs w:val="20"/>
        </w:rPr>
        <w:t xml:space="preserve"> (IFSCs) - Compliance with statutory/regulatory norms</w:t>
      </w:r>
    </w:p>
    <w:p w:rsidR="00C96881" w:rsidRDefault="00C96881" w:rsidP="00C96881">
      <w:pPr>
        <w:spacing w:after="0"/>
        <w:rPr>
          <w:rFonts w:ascii="Arial" w:hAnsi="Arial" w:cs="Arial"/>
          <w:b/>
          <w:bCs/>
          <w:color w:val="000000"/>
          <w:sz w:val="20"/>
          <w:szCs w:val="20"/>
        </w:rPr>
      </w:pP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RBI/2022-23/145</w:t>
      </w:r>
      <w:r>
        <w:rPr>
          <w:rFonts w:ascii="Arial" w:hAnsi="Arial" w:cs="Arial"/>
          <w:color w:val="000000"/>
          <w:sz w:val="20"/>
          <w:szCs w:val="20"/>
        </w:rPr>
        <w:br/>
        <w:t>DOR.MRG.REC.87/00-00-020/2022-23</w:t>
      </w:r>
    </w:p>
    <w:p w:rsidR="00C96881" w:rsidRDefault="00C96881" w:rsidP="00C96881">
      <w:pPr>
        <w:pStyle w:val="NormalWeb"/>
        <w:jc w:val="right"/>
        <w:rPr>
          <w:rFonts w:ascii="Arial" w:hAnsi="Arial" w:cs="Arial"/>
          <w:color w:val="000000"/>
          <w:sz w:val="20"/>
          <w:szCs w:val="20"/>
        </w:rPr>
      </w:pPr>
      <w:r>
        <w:rPr>
          <w:rFonts w:ascii="Arial" w:hAnsi="Arial" w:cs="Arial"/>
          <w:color w:val="000000"/>
          <w:sz w:val="20"/>
          <w:szCs w:val="20"/>
        </w:rPr>
        <w:t>December 1, 2022</w:t>
      </w:r>
    </w:p>
    <w:p w:rsidR="00C96881" w:rsidRDefault="00C96881" w:rsidP="00C96881">
      <w:pPr>
        <w:pStyle w:val="head"/>
        <w:jc w:val="both"/>
        <w:rPr>
          <w:rFonts w:ascii="Arial" w:hAnsi="Arial" w:cs="Arial"/>
          <w:b/>
          <w:bCs/>
          <w:color w:val="000000"/>
          <w:sz w:val="20"/>
          <w:szCs w:val="20"/>
        </w:rPr>
      </w:pPr>
      <w:r>
        <w:rPr>
          <w:rFonts w:ascii="Arial" w:hAnsi="Arial" w:cs="Arial"/>
          <w:b/>
          <w:bCs/>
          <w:color w:val="000000"/>
          <w:sz w:val="20"/>
          <w:szCs w:val="20"/>
        </w:rPr>
        <w:t xml:space="preserve">Operations of subsidiaries and branches of Indian banks and All India Financial Institutions (AIFIs) in foreign jurisdictions and in International Financial Services </w:t>
      </w:r>
      <w:proofErr w:type="spellStart"/>
      <w:r>
        <w:rPr>
          <w:rFonts w:ascii="Arial" w:hAnsi="Arial" w:cs="Arial"/>
          <w:b/>
          <w:bCs/>
          <w:color w:val="000000"/>
          <w:sz w:val="20"/>
          <w:szCs w:val="20"/>
        </w:rPr>
        <w:t>Centers</w:t>
      </w:r>
      <w:proofErr w:type="spellEnd"/>
      <w:r>
        <w:rPr>
          <w:rFonts w:ascii="Arial" w:hAnsi="Arial" w:cs="Arial"/>
          <w:b/>
          <w:bCs/>
          <w:color w:val="000000"/>
          <w:sz w:val="20"/>
          <w:szCs w:val="20"/>
        </w:rPr>
        <w:t xml:space="preserve"> (IFSCs) - Compliance with statutory/regulatory norms</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As you are aware, Reserve Bank had vide </w:t>
      </w:r>
      <w:hyperlink r:id="rId172" w:tgtFrame="_blank" w:history="1">
        <w:r>
          <w:rPr>
            <w:rStyle w:val="Hyperlink"/>
            <w:rFonts w:ascii="Arial" w:hAnsi="Arial" w:cs="Arial"/>
            <w:sz w:val="20"/>
            <w:szCs w:val="20"/>
          </w:rPr>
          <w:t>circular DBOD.No.BP.BC.89/21.04.141/2008-09 dated December 1, 2008</w:t>
        </w:r>
      </w:hyperlink>
      <w:r>
        <w:rPr>
          <w:rFonts w:ascii="Arial" w:hAnsi="Arial" w:cs="Arial"/>
          <w:color w:val="000000"/>
          <w:sz w:val="20"/>
          <w:szCs w:val="20"/>
        </w:rPr>
        <w:t> and </w:t>
      </w:r>
      <w:hyperlink r:id="rId173" w:tgtFrame="_blank" w:history="1">
        <w:r>
          <w:rPr>
            <w:rStyle w:val="Hyperlink"/>
            <w:rFonts w:ascii="Arial" w:hAnsi="Arial" w:cs="Arial"/>
            <w:sz w:val="20"/>
            <w:szCs w:val="20"/>
          </w:rPr>
          <w:t>circular DBOD.No.BP.BC.111/21.04.157/2013-14 dated May 12, 2014</w:t>
        </w:r>
      </w:hyperlink>
      <w:r>
        <w:rPr>
          <w:rFonts w:ascii="Arial" w:hAnsi="Arial" w:cs="Arial"/>
          <w:color w:val="000000"/>
          <w:sz w:val="20"/>
          <w:szCs w:val="20"/>
        </w:rPr>
        <w:t xml:space="preserve"> issued instructions to Indian banks and AIFIs on the issue of dealing in financial products by their branches/subsidiaries operating outside India. On a review, it was felt that a framework needs to be in place to allow them to undertake activities which are not specifically permitted in the Indian domestic market and also to specify the applicability of these instructions to International Financial Services </w:t>
      </w:r>
      <w:proofErr w:type="spellStart"/>
      <w:r>
        <w:rPr>
          <w:rFonts w:ascii="Arial" w:hAnsi="Arial" w:cs="Arial"/>
          <w:color w:val="000000"/>
          <w:sz w:val="20"/>
          <w:szCs w:val="20"/>
        </w:rPr>
        <w:t>Centers</w:t>
      </w:r>
      <w:proofErr w:type="spellEnd"/>
      <w:r>
        <w:rPr>
          <w:rFonts w:ascii="Arial" w:hAnsi="Arial" w:cs="Arial"/>
          <w:color w:val="000000"/>
          <w:sz w:val="20"/>
          <w:szCs w:val="20"/>
        </w:rPr>
        <w:t xml:space="preserve"> (IFSCs) in India including Gujarat International Finance Tec-City (GIFT City).</w:t>
      </w:r>
    </w:p>
    <w:p w:rsidR="00C96881" w:rsidRDefault="00C96881" w:rsidP="00C96881">
      <w:pPr>
        <w:pStyle w:val="head"/>
        <w:jc w:val="both"/>
        <w:rPr>
          <w:rFonts w:ascii="Arial" w:hAnsi="Arial" w:cs="Arial"/>
          <w:b/>
          <w:bCs/>
          <w:color w:val="000000"/>
          <w:sz w:val="20"/>
          <w:szCs w:val="20"/>
        </w:rPr>
      </w:pPr>
      <w:r>
        <w:rPr>
          <w:rFonts w:ascii="Arial" w:hAnsi="Arial" w:cs="Arial"/>
          <w:b/>
          <w:bCs/>
          <w:color w:val="000000"/>
          <w:sz w:val="20"/>
          <w:szCs w:val="20"/>
        </w:rPr>
        <w:t>1. Applicability and commencement</w:t>
      </w:r>
    </w:p>
    <w:p w:rsidR="00C96881" w:rsidRDefault="00C96881" w:rsidP="00C96881">
      <w:pPr>
        <w:pStyle w:val="head"/>
        <w:jc w:val="both"/>
        <w:rPr>
          <w:rFonts w:ascii="Arial" w:hAnsi="Arial" w:cs="Arial"/>
          <w:b/>
          <w:bCs/>
          <w:color w:val="000000"/>
          <w:sz w:val="20"/>
          <w:szCs w:val="20"/>
        </w:rPr>
      </w:pPr>
      <w:r>
        <w:rPr>
          <w:rFonts w:ascii="Arial" w:hAnsi="Arial" w:cs="Arial"/>
          <w:b/>
          <w:bCs/>
          <w:color w:val="000000"/>
          <w:sz w:val="20"/>
          <w:szCs w:val="20"/>
        </w:rPr>
        <w:t>2. Dealing in financial products</w:t>
      </w:r>
    </w:p>
    <w:p w:rsidR="00C96881" w:rsidRDefault="00C96881" w:rsidP="00C96881">
      <w:pPr>
        <w:pStyle w:val="head"/>
        <w:jc w:val="both"/>
        <w:rPr>
          <w:rFonts w:ascii="Arial" w:hAnsi="Arial" w:cs="Arial"/>
          <w:b/>
          <w:bCs/>
          <w:color w:val="000000"/>
          <w:sz w:val="20"/>
          <w:szCs w:val="20"/>
        </w:rPr>
      </w:pPr>
      <w:r>
        <w:rPr>
          <w:rFonts w:ascii="Arial" w:hAnsi="Arial" w:cs="Arial"/>
          <w:b/>
          <w:bCs/>
          <w:color w:val="000000"/>
          <w:sz w:val="20"/>
          <w:szCs w:val="20"/>
        </w:rPr>
        <w:t>3. Conditions for dealing in financial products</w:t>
      </w:r>
    </w:p>
    <w:p w:rsidR="00C96881" w:rsidRDefault="00C96881" w:rsidP="00C96881">
      <w:pPr>
        <w:pStyle w:val="head"/>
        <w:jc w:val="both"/>
        <w:rPr>
          <w:rFonts w:ascii="Arial" w:hAnsi="Arial" w:cs="Arial"/>
          <w:b/>
          <w:bCs/>
          <w:color w:val="000000"/>
          <w:sz w:val="20"/>
          <w:szCs w:val="20"/>
        </w:rPr>
      </w:pPr>
      <w:r>
        <w:rPr>
          <w:rFonts w:ascii="Arial" w:hAnsi="Arial" w:cs="Arial"/>
          <w:b/>
          <w:bCs/>
          <w:color w:val="000000"/>
          <w:sz w:val="20"/>
          <w:szCs w:val="20"/>
        </w:rPr>
        <w:t>4. Compliance with prudential norms</w:t>
      </w:r>
    </w:p>
    <w:p w:rsidR="00C96881" w:rsidRDefault="00C96881" w:rsidP="00C96881">
      <w:pPr>
        <w:pStyle w:val="head"/>
        <w:jc w:val="both"/>
        <w:rPr>
          <w:rFonts w:ascii="Arial" w:hAnsi="Arial" w:cs="Arial"/>
          <w:b/>
          <w:bCs/>
          <w:color w:val="000000"/>
          <w:sz w:val="20"/>
          <w:szCs w:val="20"/>
        </w:rPr>
      </w:pPr>
      <w:r>
        <w:rPr>
          <w:rFonts w:ascii="Arial" w:hAnsi="Arial" w:cs="Arial"/>
          <w:b/>
          <w:bCs/>
          <w:color w:val="000000"/>
          <w:sz w:val="20"/>
          <w:szCs w:val="20"/>
        </w:rPr>
        <w:t>5. Activities subject to Indian laws</w:t>
      </w:r>
    </w:p>
    <w:p w:rsidR="00C96881" w:rsidRDefault="00C96881" w:rsidP="00C96881">
      <w:pPr>
        <w:pStyle w:val="head"/>
        <w:jc w:val="both"/>
        <w:rPr>
          <w:rFonts w:ascii="Arial" w:hAnsi="Arial" w:cs="Arial"/>
          <w:b/>
          <w:bCs/>
          <w:color w:val="000000"/>
          <w:sz w:val="20"/>
          <w:szCs w:val="20"/>
        </w:rPr>
      </w:pPr>
      <w:r>
        <w:rPr>
          <w:rFonts w:ascii="Arial" w:hAnsi="Arial" w:cs="Arial"/>
          <w:b/>
          <w:bCs/>
          <w:color w:val="000000"/>
          <w:sz w:val="20"/>
          <w:szCs w:val="20"/>
        </w:rPr>
        <w:t>6. Repeal of earlier instructions</w:t>
      </w:r>
    </w:p>
    <w:p w:rsidR="00C96881" w:rsidRDefault="00C96881" w:rsidP="00C96881">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C96881" w:rsidRDefault="00C96881" w:rsidP="00C9688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C96881" w:rsidRDefault="00C96881" w:rsidP="00C96881">
      <w:pPr>
        <w:spacing w:after="0"/>
        <w:rPr>
          <w:rFonts w:ascii="Arial" w:hAnsi="Arial" w:cs="Arial"/>
          <w:sz w:val="20"/>
          <w:szCs w:val="20"/>
        </w:rPr>
      </w:pPr>
    </w:p>
    <w:p w:rsidR="00C96881" w:rsidRDefault="00C96881" w:rsidP="00C96881">
      <w:pPr>
        <w:spacing w:after="0"/>
        <w:rPr>
          <w:rFonts w:ascii="Arial" w:hAnsi="Arial" w:cs="Arial"/>
          <w:sz w:val="20"/>
          <w:szCs w:val="20"/>
        </w:rPr>
      </w:pPr>
    </w:p>
    <w:p w:rsidR="00C96881" w:rsidRDefault="00C96881" w:rsidP="00C96881">
      <w:pPr>
        <w:spacing w:after="0"/>
        <w:rPr>
          <w:rFonts w:ascii="Arial" w:hAnsi="Arial" w:cs="Arial"/>
          <w:sz w:val="20"/>
          <w:szCs w:val="20"/>
        </w:rPr>
      </w:pPr>
    </w:p>
    <w:p w:rsidR="00C96881" w:rsidRDefault="00C96881" w:rsidP="00C96881">
      <w:pPr>
        <w:spacing w:after="0"/>
        <w:rPr>
          <w:rFonts w:ascii="Arial" w:hAnsi="Arial" w:cs="Arial"/>
          <w:sz w:val="20"/>
          <w:szCs w:val="20"/>
        </w:rPr>
      </w:pPr>
    </w:p>
    <w:p w:rsidR="00C96881" w:rsidRDefault="00C96881" w:rsidP="00C96881">
      <w:pPr>
        <w:spacing w:after="0"/>
        <w:rPr>
          <w:rFonts w:ascii="Arial" w:hAnsi="Arial" w:cs="Arial"/>
          <w:sz w:val="20"/>
          <w:szCs w:val="20"/>
        </w:rPr>
      </w:pPr>
    </w:p>
    <w:p w:rsidR="00C96881" w:rsidRDefault="00C96881" w:rsidP="00C96881">
      <w:pPr>
        <w:spacing w:after="0"/>
        <w:rPr>
          <w:rFonts w:ascii="Arial" w:hAnsi="Arial" w:cs="Arial"/>
          <w:sz w:val="20"/>
          <w:szCs w:val="20"/>
        </w:rPr>
      </w:pPr>
    </w:p>
    <w:p w:rsidR="00C96881" w:rsidRPr="00435B25" w:rsidRDefault="00C96881" w:rsidP="00C96881">
      <w:pPr>
        <w:spacing w:after="0"/>
        <w:rPr>
          <w:rFonts w:ascii="Arial" w:hAnsi="Arial" w:cs="Arial"/>
          <w:sz w:val="20"/>
          <w:szCs w:val="20"/>
        </w:rPr>
      </w:pPr>
      <w:r w:rsidRPr="00435B25">
        <w:rPr>
          <w:rFonts w:ascii="Arial" w:hAnsi="Arial" w:cs="Arial"/>
          <w:sz w:val="20"/>
          <w:szCs w:val="20"/>
        </w:rPr>
        <w:t>More details can be referred to in the below link.</w:t>
      </w:r>
    </w:p>
    <w:p w:rsidR="00C96881" w:rsidRDefault="00C96881" w:rsidP="00C96881">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174" w:history="1">
        <w:r w:rsidRPr="00200311">
          <w:rPr>
            <w:rStyle w:val="Hyperlink"/>
            <w:rFonts w:ascii="Arial" w:hAnsi="Arial" w:cs="Arial"/>
            <w:sz w:val="20"/>
            <w:szCs w:val="20"/>
          </w:rPr>
          <w:t>https://m.rbi.org.in/scripts/FS_Notification.aspx?Id=12417&amp;fn=14&amp;Mode=0</w:t>
        </w:r>
      </w:hyperlink>
    </w:p>
    <w:p w:rsidR="00C96881" w:rsidRDefault="00C96881" w:rsidP="00C96881">
      <w:pPr>
        <w:spacing w:after="0"/>
        <w:rPr>
          <w:rFonts w:ascii="Arial" w:hAnsi="Arial" w:cs="Arial"/>
          <w:sz w:val="20"/>
          <w:szCs w:val="20"/>
        </w:rPr>
      </w:pPr>
    </w:p>
    <w:p w:rsidR="00C96881" w:rsidRDefault="00C96881" w:rsidP="00C96881">
      <w:pPr>
        <w:spacing w:after="0"/>
        <w:rPr>
          <w:rFonts w:ascii="Arial" w:hAnsi="Arial" w:cs="Arial"/>
          <w:sz w:val="20"/>
          <w:szCs w:val="20"/>
        </w:rPr>
      </w:pPr>
    </w:p>
    <w:p w:rsidR="00C96881" w:rsidRDefault="00C96881" w:rsidP="00C96881">
      <w:pPr>
        <w:spacing w:after="0"/>
        <w:rPr>
          <w:rFonts w:ascii="Arial" w:hAnsi="Arial" w:cs="Arial"/>
          <w:sz w:val="20"/>
          <w:szCs w:val="20"/>
        </w:rPr>
      </w:pPr>
    </w:p>
    <w:p w:rsidR="00C96881" w:rsidRDefault="00C96881" w:rsidP="00C96881">
      <w:pPr>
        <w:spacing w:after="0"/>
        <w:rPr>
          <w:rFonts w:ascii="Arial" w:hAnsi="Arial" w:cs="Arial"/>
          <w:sz w:val="20"/>
          <w:szCs w:val="20"/>
        </w:rPr>
      </w:pPr>
    </w:p>
    <w:p w:rsidR="00C96881" w:rsidRDefault="00C96881" w:rsidP="00C96881">
      <w:pPr>
        <w:spacing w:after="0"/>
        <w:rPr>
          <w:rFonts w:ascii="Arial" w:hAnsi="Arial" w:cs="Arial"/>
          <w:sz w:val="20"/>
          <w:szCs w:val="20"/>
        </w:rPr>
      </w:pPr>
    </w:p>
    <w:p w:rsidR="00C96881" w:rsidRDefault="00C96881" w:rsidP="00C96881">
      <w:pPr>
        <w:spacing w:after="0"/>
        <w:rPr>
          <w:rFonts w:ascii="Arial" w:hAnsi="Arial" w:cs="Arial"/>
          <w:sz w:val="20"/>
          <w:szCs w:val="20"/>
        </w:rPr>
      </w:pPr>
    </w:p>
    <w:p w:rsidR="00C96881" w:rsidRDefault="00C96881" w:rsidP="00C96881">
      <w:pPr>
        <w:spacing w:after="0"/>
        <w:rPr>
          <w:rFonts w:ascii="Arial" w:hAnsi="Arial" w:cs="Arial"/>
          <w:sz w:val="20"/>
          <w:szCs w:val="20"/>
        </w:rPr>
      </w:pPr>
    </w:p>
    <w:p w:rsidR="00C96881" w:rsidRDefault="00C96881" w:rsidP="00C96881">
      <w:pPr>
        <w:spacing w:after="0"/>
        <w:rPr>
          <w:rFonts w:ascii="Arial" w:hAnsi="Arial" w:cs="Arial"/>
          <w:sz w:val="20"/>
          <w:szCs w:val="20"/>
        </w:rPr>
      </w:pPr>
    </w:p>
    <w:p w:rsidR="00C96881" w:rsidRDefault="00C96881" w:rsidP="00C96881">
      <w:pPr>
        <w:spacing w:after="0"/>
        <w:rPr>
          <w:rFonts w:ascii="Arial" w:hAnsi="Arial" w:cs="Arial"/>
          <w:sz w:val="20"/>
          <w:szCs w:val="20"/>
        </w:rPr>
      </w:pPr>
    </w:p>
    <w:p w:rsidR="00C96881" w:rsidRDefault="00C96881" w:rsidP="0001090D">
      <w:pPr>
        <w:rPr>
          <w:rFonts w:ascii="Arial" w:hAnsi="Arial" w:cs="Arial"/>
          <w:bCs/>
          <w:color w:val="000000"/>
          <w:sz w:val="20"/>
          <w:szCs w:val="20"/>
        </w:rPr>
      </w:pPr>
    </w:p>
    <w:p w:rsidR="00C96881" w:rsidRDefault="00C96881" w:rsidP="00C96881">
      <w:pPr>
        <w:rPr>
          <w:rFonts w:ascii="Arial" w:hAnsi="Arial" w:cs="Arial"/>
          <w:b/>
          <w:bCs/>
          <w:color w:val="000000"/>
          <w:sz w:val="20"/>
          <w:szCs w:val="20"/>
        </w:rPr>
      </w:pPr>
      <w:r>
        <w:rPr>
          <w:rFonts w:ascii="Arial" w:hAnsi="Arial" w:cs="Arial"/>
          <w:b/>
          <w:bCs/>
          <w:color w:val="000000"/>
          <w:sz w:val="20"/>
          <w:szCs w:val="20"/>
        </w:rPr>
        <w:t>Revised Regulatory Framework for Urban Co-operative Banks (UCBs) – Net Worth and Capital Adequacy</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RBI/2022-23/146</w:t>
      </w:r>
      <w:r>
        <w:rPr>
          <w:rFonts w:ascii="Arial" w:hAnsi="Arial" w:cs="Arial"/>
          <w:color w:val="000000"/>
          <w:sz w:val="20"/>
          <w:szCs w:val="20"/>
        </w:rPr>
        <w:br/>
        <w:t>DOR.CAP.REC.No.86/09.18.201/2022-23</w:t>
      </w:r>
    </w:p>
    <w:p w:rsidR="00C96881" w:rsidRDefault="00C96881" w:rsidP="00C96881">
      <w:pPr>
        <w:pStyle w:val="NormalWeb"/>
        <w:jc w:val="right"/>
        <w:rPr>
          <w:rFonts w:ascii="Arial" w:hAnsi="Arial" w:cs="Arial"/>
          <w:color w:val="000000"/>
          <w:sz w:val="20"/>
          <w:szCs w:val="20"/>
        </w:rPr>
      </w:pPr>
      <w:r>
        <w:rPr>
          <w:rFonts w:ascii="Arial" w:hAnsi="Arial" w:cs="Arial"/>
          <w:color w:val="000000"/>
          <w:sz w:val="20"/>
          <w:szCs w:val="20"/>
        </w:rPr>
        <w:t>December 1, 2022</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Dear Sir/Madam,</w:t>
      </w:r>
    </w:p>
    <w:p w:rsidR="00C96881" w:rsidRDefault="00C96881" w:rsidP="00C96881">
      <w:pPr>
        <w:pStyle w:val="head"/>
        <w:jc w:val="both"/>
        <w:rPr>
          <w:rFonts w:ascii="Arial" w:hAnsi="Arial" w:cs="Arial"/>
          <w:b/>
          <w:bCs/>
          <w:color w:val="000000"/>
          <w:sz w:val="20"/>
          <w:szCs w:val="20"/>
        </w:rPr>
      </w:pPr>
      <w:r>
        <w:rPr>
          <w:rFonts w:ascii="Arial" w:hAnsi="Arial" w:cs="Arial"/>
          <w:b/>
          <w:bCs/>
          <w:color w:val="000000"/>
          <w:sz w:val="20"/>
          <w:szCs w:val="20"/>
        </w:rPr>
        <w:t>Revised Regulatory Framework for Urban Co-operative Banks (UCBs) – Net Worth and Capital Adequacy</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Please refer to the Revised Regulatory Framework for Urban Co-operative Banks (UCBs) emanating from the recommendations of Expert Committee on Urban Co-operative Banks (</w:t>
      </w:r>
      <w:hyperlink r:id="rId175" w:tgtFrame="_blank" w:history="1">
        <w:r>
          <w:rPr>
            <w:rStyle w:val="Hyperlink"/>
            <w:rFonts w:ascii="Arial" w:hAnsi="Arial" w:cs="Arial"/>
            <w:sz w:val="20"/>
            <w:szCs w:val="20"/>
          </w:rPr>
          <w:t>Press Release: 2022-2023/561 dated July 19, 2022</w:t>
        </w:r>
      </w:hyperlink>
      <w:r>
        <w:rPr>
          <w:rFonts w:ascii="Arial" w:hAnsi="Arial" w:cs="Arial"/>
          <w:color w:val="000000"/>
          <w:sz w:val="20"/>
          <w:szCs w:val="20"/>
        </w:rPr>
        <w:t>) and </w:t>
      </w:r>
      <w:hyperlink r:id="rId176" w:tgtFrame="_blank" w:history="1">
        <w:r>
          <w:rPr>
            <w:rStyle w:val="Hyperlink"/>
            <w:rFonts w:ascii="Arial" w:hAnsi="Arial" w:cs="Arial"/>
            <w:sz w:val="20"/>
            <w:szCs w:val="20"/>
          </w:rPr>
          <w:t>circular no. DOR.REG.No.84/07.01.000/2022-23 dated December 1, 2022</w:t>
        </w:r>
      </w:hyperlink>
      <w:r>
        <w:rPr>
          <w:rFonts w:ascii="Arial" w:hAnsi="Arial" w:cs="Arial"/>
          <w:color w:val="000000"/>
          <w:sz w:val="20"/>
          <w:szCs w:val="20"/>
        </w:rPr>
        <w:t>, on Revised Regulatory Framework - Categorization of Urban Co-operative Banks (UCBs) for Regulatory Purposes. The detailed guidelines are provided below:</w:t>
      </w:r>
    </w:p>
    <w:p w:rsidR="00C96881" w:rsidRDefault="00C96881" w:rsidP="00C96881">
      <w:pPr>
        <w:pStyle w:val="head"/>
        <w:jc w:val="both"/>
        <w:rPr>
          <w:rFonts w:ascii="Arial" w:hAnsi="Arial" w:cs="Arial"/>
          <w:b/>
          <w:bCs/>
          <w:color w:val="000000"/>
          <w:sz w:val="20"/>
          <w:szCs w:val="20"/>
        </w:rPr>
      </w:pPr>
      <w:r>
        <w:rPr>
          <w:rFonts w:ascii="Arial" w:hAnsi="Arial" w:cs="Arial"/>
          <w:b/>
          <w:bCs/>
          <w:color w:val="000000"/>
          <w:sz w:val="20"/>
          <w:szCs w:val="20"/>
        </w:rPr>
        <w:t>A. Net Worth</w:t>
      </w:r>
    </w:p>
    <w:p w:rsidR="00C96881" w:rsidRDefault="00C96881" w:rsidP="00C96881">
      <w:pPr>
        <w:pStyle w:val="NormalWeb"/>
        <w:spacing w:after="0" w:afterAutospacing="0"/>
        <w:jc w:val="both"/>
        <w:rPr>
          <w:rFonts w:ascii="Arial" w:hAnsi="Arial" w:cs="Arial"/>
          <w:color w:val="000000"/>
          <w:sz w:val="20"/>
          <w:szCs w:val="20"/>
        </w:rPr>
      </w:pPr>
      <w:r>
        <w:rPr>
          <w:rFonts w:ascii="Arial" w:hAnsi="Arial" w:cs="Arial"/>
          <w:color w:val="000000"/>
          <w:sz w:val="20"/>
          <w:szCs w:val="20"/>
        </w:rPr>
        <w:t>2. UCBs shall have minimum net worth as under:</w:t>
      </w:r>
    </w:p>
    <w:p w:rsidR="00C96881" w:rsidRDefault="00C96881" w:rsidP="00DA1141">
      <w:pPr>
        <w:pStyle w:val="NormalWeb"/>
        <w:numPr>
          <w:ilvl w:val="0"/>
          <w:numId w:val="15"/>
        </w:numPr>
        <w:spacing w:before="0" w:beforeAutospacing="0"/>
        <w:ind w:left="0"/>
        <w:jc w:val="both"/>
        <w:rPr>
          <w:rFonts w:ascii="Arial" w:hAnsi="Arial" w:cs="Arial"/>
          <w:color w:val="000000"/>
          <w:sz w:val="20"/>
          <w:szCs w:val="20"/>
        </w:rPr>
      </w:pPr>
      <w:r>
        <w:rPr>
          <w:rFonts w:ascii="Arial" w:hAnsi="Arial" w:cs="Arial"/>
          <w:color w:val="000000"/>
          <w:sz w:val="20"/>
          <w:szCs w:val="20"/>
        </w:rPr>
        <w:t xml:space="preserve">Tier 1 UCBs operating in a single district shall have minimum net worth of ₹2 </w:t>
      </w:r>
      <w:proofErr w:type="gramStart"/>
      <w:r>
        <w:rPr>
          <w:rFonts w:ascii="Arial" w:hAnsi="Arial" w:cs="Arial"/>
          <w:color w:val="000000"/>
          <w:sz w:val="20"/>
          <w:szCs w:val="20"/>
        </w:rPr>
        <w:t>crore</w:t>
      </w:r>
      <w:proofErr w:type="gramEnd"/>
      <w:r>
        <w:rPr>
          <w:rFonts w:ascii="Arial" w:hAnsi="Arial" w:cs="Arial"/>
          <w:color w:val="000000"/>
          <w:sz w:val="20"/>
          <w:szCs w:val="20"/>
        </w:rPr>
        <w:t>.</w:t>
      </w:r>
    </w:p>
    <w:p w:rsidR="00C96881" w:rsidRDefault="00C96881" w:rsidP="00DA1141">
      <w:pPr>
        <w:pStyle w:val="NormalWeb"/>
        <w:numPr>
          <w:ilvl w:val="0"/>
          <w:numId w:val="15"/>
        </w:numPr>
        <w:ind w:left="0"/>
        <w:jc w:val="both"/>
        <w:rPr>
          <w:rFonts w:ascii="Arial" w:hAnsi="Arial" w:cs="Arial"/>
          <w:color w:val="000000"/>
          <w:sz w:val="20"/>
          <w:szCs w:val="20"/>
        </w:rPr>
      </w:pPr>
      <w:r>
        <w:rPr>
          <w:rFonts w:ascii="Arial" w:hAnsi="Arial" w:cs="Arial"/>
          <w:color w:val="000000"/>
          <w:sz w:val="20"/>
          <w:szCs w:val="20"/>
        </w:rPr>
        <w:t xml:space="preserve">All other UCBs (of all tiers) shall have minimum net worth of ₹5 </w:t>
      </w:r>
      <w:proofErr w:type="gramStart"/>
      <w:r>
        <w:rPr>
          <w:rFonts w:ascii="Arial" w:hAnsi="Arial" w:cs="Arial"/>
          <w:color w:val="000000"/>
          <w:sz w:val="20"/>
          <w:szCs w:val="20"/>
        </w:rPr>
        <w:t>crore</w:t>
      </w:r>
      <w:proofErr w:type="gramEnd"/>
      <w:r>
        <w:rPr>
          <w:rFonts w:ascii="Arial" w:hAnsi="Arial" w:cs="Arial"/>
          <w:color w:val="000000"/>
          <w:sz w:val="20"/>
          <w:szCs w:val="20"/>
        </w:rPr>
        <w:t>.</w:t>
      </w:r>
    </w:p>
    <w:p w:rsidR="00C96881" w:rsidRDefault="00C96881" w:rsidP="00DA1141">
      <w:pPr>
        <w:pStyle w:val="NormalWeb"/>
        <w:numPr>
          <w:ilvl w:val="0"/>
          <w:numId w:val="15"/>
        </w:numPr>
        <w:spacing w:after="0" w:afterAutospacing="0"/>
        <w:ind w:left="0"/>
        <w:jc w:val="both"/>
        <w:rPr>
          <w:rFonts w:ascii="Arial" w:hAnsi="Arial" w:cs="Arial"/>
          <w:color w:val="000000"/>
          <w:sz w:val="20"/>
          <w:szCs w:val="20"/>
        </w:rPr>
      </w:pPr>
      <w:r>
        <w:rPr>
          <w:rFonts w:ascii="Arial" w:hAnsi="Arial" w:cs="Arial"/>
          <w:color w:val="000000"/>
          <w:sz w:val="20"/>
          <w:szCs w:val="20"/>
        </w:rPr>
        <w:t xml:space="preserve">UCBs which currently do not meet the minimum net worth requirement, as above, shall achieve the minimum net worth of ₹2 crore or ₹5 </w:t>
      </w:r>
      <w:proofErr w:type="gramStart"/>
      <w:r>
        <w:rPr>
          <w:rFonts w:ascii="Arial" w:hAnsi="Arial" w:cs="Arial"/>
          <w:color w:val="000000"/>
          <w:sz w:val="20"/>
          <w:szCs w:val="20"/>
        </w:rPr>
        <w:t>crore</w:t>
      </w:r>
      <w:proofErr w:type="gramEnd"/>
      <w:r>
        <w:rPr>
          <w:rFonts w:ascii="Arial" w:hAnsi="Arial" w:cs="Arial"/>
          <w:color w:val="000000"/>
          <w:sz w:val="20"/>
          <w:szCs w:val="20"/>
        </w:rPr>
        <w:t xml:space="preserve"> (as applicable) in a phased manner. Such UCBs shall achieve at least 50 per cent of the applicable minimum net worth on or before March 31, 2026 and the entire stipulated minimum net worth on or before March 31, 2028.</w:t>
      </w:r>
    </w:p>
    <w:p w:rsidR="00C96881" w:rsidRDefault="00C96881" w:rsidP="00C96881">
      <w:pPr>
        <w:pStyle w:val="head"/>
        <w:jc w:val="both"/>
        <w:rPr>
          <w:rFonts w:ascii="Arial" w:hAnsi="Arial" w:cs="Arial"/>
          <w:b/>
          <w:bCs/>
          <w:color w:val="000000"/>
          <w:sz w:val="20"/>
          <w:szCs w:val="20"/>
        </w:rPr>
      </w:pPr>
      <w:r>
        <w:rPr>
          <w:rFonts w:ascii="Arial" w:hAnsi="Arial" w:cs="Arial"/>
          <w:b/>
          <w:bCs/>
          <w:color w:val="000000"/>
          <w:sz w:val="20"/>
          <w:szCs w:val="20"/>
        </w:rPr>
        <w:t>B. Minimum capital to risk weighted assets ratio (CRAR) requirement</w:t>
      </w:r>
    </w:p>
    <w:p w:rsidR="00C96881" w:rsidRDefault="00C96881" w:rsidP="00C96881">
      <w:pPr>
        <w:pStyle w:val="NormalWeb"/>
        <w:spacing w:after="0" w:afterAutospacing="0"/>
        <w:jc w:val="both"/>
        <w:rPr>
          <w:rFonts w:ascii="Arial" w:hAnsi="Arial" w:cs="Arial"/>
          <w:color w:val="000000"/>
          <w:sz w:val="20"/>
          <w:szCs w:val="20"/>
        </w:rPr>
      </w:pPr>
      <w:r>
        <w:rPr>
          <w:rFonts w:ascii="Arial" w:hAnsi="Arial" w:cs="Arial"/>
          <w:color w:val="000000"/>
          <w:sz w:val="20"/>
          <w:szCs w:val="20"/>
        </w:rPr>
        <w:t>3. UCBs shall maintain minimum CRAR as under:</w:t>
      </w:r>
    </w:p>
    <w:p w:rsidR="00C96881" w:rsidRDefault="00C96881" w:rsidP="00DA1141">
      <w:pPr>
        <w:pStyle w:val="NormalWeb"/>
        <w:numPr>
          <w:ilvl w:val="0"/>
          <w:numId w:val="16"/>
        </w:numPr>
        <w:spacing w:before="0" w:beforeAutospacing="0"/>
        <w:ind w:left="0"/>
        <w:jc w:val="both"/>
        <w:rPr>
          <w:rFonts w:ascii="Arial" w:hAnsi="Arial" w:cs="Arial"/>
          <w:color w:val="000000"/>
          <w:sz w:val="20"/>
          <w:szCs w:val="20"/>
        </w:rPr>
      </w:pPr>
      <w:r>
        <w:rPr>
          <w:rFonts w:ascii="Arial" w:hAnsi="Arial" w:cs="Arial"/>
          <w:color w:val="000000"/>
          <w:sz w:val="20"/>
          <w:szCs w:val="20"/>
        </w:rPr>
        <w:t>Tier 1 UCBs shall maintain, as hitherto, a minimum CRAR of 9 per cent of Risk Weighted Assets (RWAs) on an ongoing basis.</w:t>
      </w:r>
    </w:p>
    <w:p w:rsidR="00C96881" w:rsidRDefault="00C96881" w:rsidP="00DA1141">
      <w:pPr>
        <w:pStyle w:val="NormalWeb"/>
        <w:numPr>
          <w:ilvl w:val="0"/>
          <w:numId w:val="16"/>
        </w:numPr>
        <w:ind w:left="0"/>
        <w:jc w:val="both"/>
        <w:rPr>
          <w:rFonts w:ascii="Arial" w:hAnsi="Arial" w:cs="Arial"/>
          <w:color w:val="000000"/>
          <w:sz w:val="20"/>
          <w:szCs w:val="20"/>
        </w:rPr>
      </w:pPr>
      <w:r>
        <w:rPr>
          <w:rFonts w:ascii="Arial" w:hAnsi="Arial" w:cs="Arial"/>
          <w:color w:val="000000"/>
          <w:sz w:val="20"/>
          <w:szCs w:val="20"/>
        </w:rPr>
        <w:t>Tier 2 to 4 UCBs shall maintain a minimum CRAR of 12 per cent of RWAs on an ongoing basis.</w:t>
      </w:r>
    </w:p>
    <w:p w:rsidR="00C96881" w:rsidRDefault="00C96881" w:rsidP="00DA1141">
      <w:pPr>
        <w:pStyle w:val="NormalWeb"/>
        <w:numPr>
          <w:ilvl w:val="0"/>
          <w:numId w:val="16"/>
        </w:numPr>
        <w:spacing w:after="0" w:afterAutospacing="0"/>
        <w:ind w:left="0"/>
        <w:jc w:val="both"/>
        <w:rPr>
          <w:rFonts w:ascii="Arial" w:hAnsi="Arial" w:cs="Arial"/>
          <w:color w:val="000000"/>
          <w:sz w:val="20"/>
          <w:szCs w:val="20"/>
        </w:rPr>
      </w:pPr>
      <w:r>
        <w:rPr>
          <w:rFonts w:ascii="Arial" w:hAnsi="Arial" w:cs="Arial"/>
          <w:color w:val="000000"/>
          <w:sz w:val="20"/>
          <w:szCs w:val="20"/>
        </w:rPr>
        <w:t>UCBs in Tier 2 to 4, which do not currently meet the revised CRAR of 12 per cent of RWAs, shall achieve the same in a phased manner. Such UCBs shall achieve the CRAR of at least 10 per cent by March 31, 2024, 11 per cent by March 31, 2025, and 12 per cent by March 31, 2026.</w:t>
      </w:r>
    </w:p>
    <w:p w:rsidR="00C96881" w:rsidRDefault="00C96881" w:rsidP="00C96881">
      <w:pPr>
        <w:pStyle w:val="head"/>
        <w:jc w:val="both"/>
        <w:rPr>
          <w:rFonts w:ascii="Arial" w:hAnsi="Arial" w:cs="Arial"/>
          <w:b/>
          <w:bCs/>
          <w:color w:val="000000"/>
          <w:sz w:val="20"/>
          <w:szCs w:val="20"/>
        </w:rPr>
      </w:pPr>
      <w:r>
        <w:rPr>
          <w:rFonts w:ascii="Arial" w:hAnsi="Arial" w:cs="Arial"/>
          <w:b/>
          <w:bCs/>
          <w:color w:val="000000"/>
          <w:sz w:val="20"/>
          <w:szCs w:val="20"/>
        </w:rPr>
        <w:t>C. Revaluation Reserves</w:t>
      </w:r>
    </w:p>
    <w:p w:rsidR="00C96881" w:rsidRDefault="00C96881" w:rsidP="00C96881">
      <w:pPr>
        <w:pStyle w:val="NormalWeb"/>
        <w:spacing w:after="0" w:afterAutospacing="0"/>
        <w:jc w:val="both"/>
        <w:rPr>
          <w:rFonts w:ascii="Arial" w:hAnsi="Arial" w:cs="Arial"/>
          <w:color w:val="000000"/>
          <w:sz w:val="20"/>
          <w:szCs w:val="20"/>
        </w:rPr>
      </w:pPr>
      <w:r>
        <w:rPr>
          <w:rFonts w:ascii="Arial" w:hAnsi="Arial" w:cs="Arial"/>
          <w:color w:val="000000"/>
          <w:sz w:val="20"/>
          <w:szCs w:val="20"/>
        </w:rPr>
        <w:t xml:space="preserve">5. Revaluation reserves, arising out of change in the carrying amount of a bank’s property consequent upon its revaluation, may henceforth be reckoned as Tier 1 capital at a discount of 55 per cent. </w:t>
      </w:r>
    </w:p>
    <w:p w:rsidR="00C96881" w:rsidRDefault="00C96881" w:rsidP="00C96881">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C96881" w:rsidRDefault="00C96881" w:rsidP="00C96881">
      <w:pPr>
        <w:pStyle w:val="NormalWeb"/>
        <w:spacing w:before="0" w:before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C96881" w:rsidRDefault="00C96881" w:rsidP="00C96881">
      <w:pPr>
        <w:rPr>
          <w:rFonts w:ascii="Arial" w:hAnsi="Arial" w:cs="Arial"/>
          <w:sz w:val="20"/>
          <w:szCs w:val="20"/>
        </w:rPr>
      </w:pPr>
    </w:p>
    <w:p w:rsidR="00C96881" w:rsidRDefault="00C96881" w:rsidP="00C96881">
      <w:pPr>
        <w:rPr>
          <w:rFonts w:ascii="Arial" w:hAnsi="Arial" w:cs="Arial"/>
          <w:sz w:val="20"/>
          <w:szCs w:val="20"/>
        </w:rPr>
      </w:pPr>
    </w:p>
    <w:p w:rsidR="00C96881" w:rsidRDefault="00C96881" w:rsidP="00C96881">
      <w:r>
        <w:lastRenderedPageBreak/>
        <w:t>More details can be referred to in the below link.</w:t>
      </w:r>
    </w:p>
    <w:p w:rsidR="00C96881" w:rsidRDefault="00C96881" w:rsidP="00C96881">
      <w:pPr>
        <w:rPr>
          <w:rFonts w:ascii="Arial" w:hAnsi="Arial" w:cs="Arial"/>
          <w:bCs/>
          <w:color w:val="000000"/>
          <w:sz w:val="20"/>
          <w:szCs w:val="20"/>
        </w:rPr>
      </w:pPr>
      <w:r>
        <w:rPr>
          <w:rFonts w:ascii="Arial" w:hAnsi="Arial" w:cs="Arial"/>
          <w:bCs/>
          <w:color w:val="000000"/>
          <w:sz w:val="20"/>
          <w:szCs w:val="20"/>
        </w:rPr>
        <w:t xml:space="preserve">Reference Link: </w:t>
      </w:r>
      <w:hyperlink r:id="rId177" w:anchor=":~:text=UCBs%20shall%20have%20minimum%20net,worth%20of%20%E2%82%B95%20crore" w:history="1">
        <w:r w:rsidRPr="00735218">
          <w:rPr>
            <w:rStyle w:val="Hyperlink"/>
            <w:rFonts w:ascii="Arial" w:hAnsi="Arial" w:cs="Arial"/>
            <w:bCs/>
            <w:sz w:val="20"/>
            <w:szCs w:val="20"/>
          </w:rPr>
          <w:t>https://m.rbi.org.in/scripts/FS_Notification.aspx?Id=12418&amp;fn=2755&amp;Mode=0#:~:text=UCBs%20shall%20have%20minimum%20net,worth%20of%20%E2%82%B95%20crore</w:t>
        </w:r>
      </w:hyperlink>
      <w:r w:rsidRPr="00587F28">
        <w:rPr>
          <w:rFonts w:ascii="Arial" w:hAnsi="Arial" w:cs="Arial"/>
          <w:bCs/>
          <w:color w:val="000000"/>
          <w:sz w:val="20"/>
          <w:szCs w:val="20"/>
        </w:rPr>
        <w:t>.</w:t>
      </w:r>
    </w:p>
    <w:p w:rsidR="00C96881" w:rsidRDefault="00C96881" w:rsidP="00C96881">
      <w:pPr>
        <w:pStyle w:val="NormalWeb"/>
        <w:rPr>
          <w:rFonts w:ascii="Arial" w:hAnsi="Arial" w:cs="Arial"/>
          <w:b/>
          <w:bCs/>
          <w:color w:val="000000"/>
          <w:sz w:val="20"/>
          <w:szCs w:val="20"/>
        </w:rPr>
      </w:pPr>
      <w:r>
        <w:rPr>
          <w:rFonts w:ascii="Arial" w:hAnsi="Arial" w:cs="Arial"/>
          <w:b/>
          <w:bCs/>
          <w:color w:val="000000"/>
          <w:sz w:val="20"/>
          <w:szCs w:val="20"/>
        </w:rPr>
        <w:t>Review of SLR holdings in HTM category</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RBI/2022-23/150</w:t>
      </w:r>
      <w:r>
        <w:rPr>
          <w:rFonts w:ascii="Arial" w:hAnsi="Arial" w:cs="Arial"/>
          <w:color w:val="000000"/>
          <w:sz w:val="20"/>
          <w:szCs w:val="20"/>
        </w:rPr>
        <w:br/>
        <w:t>DOR.MRG.REC.89/21.04.141/2022-23</w:t>
      </w:r>
    </w:p>
    <w:p w:rsidR="00C96881" w:rsidRDefault="00C96881" w:rsidP="00C96881">
      <w:pPr>
        <w:pStyle w:val="NormalWeb"/>
        <w:jc w:val="right"/>
        <w:rPr>
          <w:rFonts w:ascii="Arial" w:hAnsi="Arial" w:cs="Arial"/>
          <w:color w:val="000000"/>
          <w:sz w:val="20"/>
          <w:szCs w:val="20"/>
        </w:rPr>
      </w:pPr>
      <w:r>
        <w:rPr>
          <w:rFonts w:ascii="Arial" w:hAnsi="Arial" w:cs="Arial"/>
          <w:color w:val="000000"/>
          <w:sz w:val="20"/>
          <w:szCs w:val="20"/>
        </w:rPr>
        <w:t>December 8, 2022</w:t>
      </w:r>
    </w:p>
    <w:p w:rsidR="00C96881" w:rsidRDefault="00C96881" w:rsidP="00C96881">
      <w:pPr>
        <w:pStyle w:val="head"/>
        <w:jc w:val="both"/>
        <w:rPr>
          <w:rFonts w:ascii="Arial" w:hAnsi="Arial" w:cs="Arial"/>
          <w:b/>
          <w:bCs/>
          <w:color w:val="000000"/>
          <w:sz w:val="20"/>
          <w:szCs w:val="20"/>
        </w:rPr>
      </w:pPr>
      <w:r>
        <w:rPr>
          <w:rFonts w:ascii="Arial" w:hAnsi="Arial" w:cs="Arial"/>
          <w:b/>
          <w:bCs/>
          <w:color w:val="000000"/>
          <w:sz w:val="20"/>
          <w:szCs w:val="20"/>
        </w:rPr>
        <w:t>Review of SLR holdings in HTM category</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Please refer to paragraph 1 of </w:t>
      </w:r>
      <w:hyperlink r:id="rId178" w:tgtFrame="_blank" w:history="1">
        <w:r>
          <w:rPr>
            <w:rStyle w:val="Hyperlink"/>
            <w:rFonts w:ascii="Arial" w:hAnsi="Arial" w:cs="Arial"/>
            <w:sz w:val="20"/>
            <w:szCs w:val="20"/>
          </w:rPr>
          <w:t>Statement on Development and Regulatory Policies</w:t>
        </w:r>
      </w:hyperlink>
      <w:r>
        <w:rPr>
          <w:rFonts w:ascii="Arial" w:hAnsi="Arial" w:cs="Arial"/>
          <w:color w:val="000000"/>
          <w:sz w:val="20"/>
          <w:szCs w:val="20"/>
        </w:rPr>
        <w:t> of the </w:t>
      </w:r>
      <w:hyperlink r:id="rId179" w:tgtFrame="_blank" w:history="1">
        <w:r>
          <w:rPr>
            <w:rStyle w:val="Hyperlink"/>
            <w:rFonts w:ascii="Arial" w:hAnsi="Arial" w:cs="Arial"/>
            <w:sz w:val="20"/>
            <w:szCs w:val="20"/>
          </w:rPr>
          <w:t>Monetary Policy Statement, 2022-23 dated December 7, 2022</w:t>
        </w:r>
      </w:hyperlink>
      <w:r>
        <w:rPr>
          <w:rFonts w:ascii="Arial" w:hAnsi="Arial" w:cs="Arial"/>
          <w:color w:val="000000"/>
          <w:sz w:val="20"/>
          <w:szCs w:val="20"/>
        </w:rPr>
        <w:t> and Section 6(iv)(a) of </w:t>
      </w:r>
      <w:hyperlink r:id="rId180" w:tgtFrame="_blank" w:history="1">
        <w:r>
          <w:rPr>
            <w:rStyle w:val="Hyperlink"/>
            <w:rFonts w:ascii="Arial" w:hAnsi="Arial" w:cs="Arial"/>
            <w:sz w:val="20"/>
            <w:szCs w:val="20"/>
          </w:rPr>
          <w:t>Master Direction - Classification, Valuation and Operation of Investment Portfolio of Commercial Banks (Directions), 2021 dated August 25, 2021</w:t>
        </w:r>
      </w:hyperlink>
      <w:r>
        <w:rPr>
          <w:rFonts w:ascii="Arial" w:hAnsi="Arial" w:cs="Arial"/>
          <w:color w:val="000000"/>
          <w:sz w:val="20"/>
          <w:szCs w:val="20"/>
        </w:rPr>
        <w:t>.</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2. At present, banks have been granted a special dispensation of enhanced Held to Maturity (HTM) limit of 23 per cent of Net Demand and Time Liabilities (NDTL), for Statutory Liquidity Ratio (SLR) eligible securities acquired between September 1, 2020 and March 31, 2023, until March 31, 2023.</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 xml:space="preserve">3. On a review, it has been decided to further extend the dispensation of enhanced HTM limit of 23 per cent of NDTL </w:t>
      </w:r>
      <w:proofErr w:type="spellStart"/>
      <w:r>
        <w:rPr>
          <w:rFonts w:ascii="Arial" w:hAnsi="Arial" w:cs="Arial"/>
          <w:color w:val="000000"/>
          <w:sz w:val="20"/>
          <w:szCs w:val="20"/>
        </w:rPr>
        <w:t>upto</w:t>
      </w:r>
      <w:proofErr w:type="spellEnd"/>
      <w:r>
        <w:rPr>
          <w:rFonts w:ascii="Arial" w:hAnsi="Arial" w:cs="Arial"/>
          <w:color w:val="000000"/>
          <w:sz w:val="20"/>
          <w:szCs w:val="20"/>
        </w:rPr>
        <w:t xml:space="preserve"> March 31, 2024 and allow banks to include securities acquired between September 1, 2020 and March 31, 2024 under the enhanced limit of 23 per cent.</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4. The enhanced HTM limit of 23 per cent shall be restored to 19.5 percent in a phased manner, beginning from the quarter ending June 30, 2024, i.e., the excess SLR securities acquired by banks during the period September 1, 2020 to March 31, 2024 shall be progressively reduced such that the total SLR securities held in the HTM category as a percentage of the NDTL do not exceed:</w:t>
      </w:r>
    </w:p>
    <w:p w:rsidR="00C96881" w:rsidRDefault="00C96881" w:rsidP="00DA1141">
      <w:pPr>
        <w:pStyle w:val="NormalWeb"/>
        <w:numPr>
          <w:ilvl w:val="0"/>
          <w:numId w:val="17"/>
        </w:numPr>
        <w:ind w:left="0"/>
        <w:jc w:val="both"/>
        <w:rPr>
          <w:rFonts w:ascii="Arial" w:hAnsi="Arial" w:cs="Arial"/>
          <w:color w:val="000000"/>
          <w:sz w:val="20"/>
          <w:szCs w:val="20"/>
        </w:rPr>
      </w:pPr>
      <w:r>
        <w:rPr>
          <w:rFonts w:ascii="Arial" w:hAnsi="Arial" w:cs="Arial"/>
          <w:color w:val="000000"/>
          <w:sz w:val="20"/>
          <w:szCs w:val="20"/>
        </w:rPr>
        <w:t>22.00 per cent as on June 30, 2024</w:t>
      </w:r>
    </w:p>
    <w:p w:rsidR="00C96881" w:rsidRDefault="00C96881" w:rsidP="00DA1141">
      <w:pPr>
        <w:pStyle w:val="NormalWeb"/>
        <w:numPr>
          <w:ilvl w:val="0"/>
          <w:numId w:val="17"/>
        </w:numPr>
        <w:ind w:left="0"/>
        <w:jc w:val="both"/>
        <w:rPr>
          <w:rFonts w:ascii="Arial" w:hAnsi="Arial" w:cs="Arial"/>
          <w:color w:val="000000"/>
          <w:sz w:val="20"/>
          <w:szCs w:val="20"/>
        </w:rPr>
      </w:pPr>
      <w:r>
        <w:rPr>
          <w:rFonts w:ascii="Arial" w:hAnsi="Arial" w:cs="Arial"/>
          <w:color w:val="000000"/>
          <w:sz w:val="20"/>
          <w:szCs w:val="20"/>
        </w:rPr>
        <w:t>21.00 per cent as on September 30, 2024</w:t>
      </w:r>
    </w:p>
    <w:p w:rsidR="00C96881" w:rsidRDefault="00C96881" w:rsidP="00DA1141">
      <w:pPr>
        <w:pStyle w:val="NormalWeb"/>
        <w:numPr>
          <w:ilvl w:val="0"/>
          <w:numId w:val="17"/>
        </w:numPr>
        <w:ind w:left="0"/>
        <w:jc w:val="both"/>
        <w:rPr>
          <w:rFonts w:ascii="Arial" w:hAnsi="Arial" w:cs="Arial"/>
          <w:color w:val="000000"/>
          <w:sz w:val="20"/>
          <w:szCs w:val="20"/>
        </w:rPr>
      </w:pPr>
      <w:r>
        <w:rPr>
          <w:rFonts w:ascii="Arial" w:hAnsi="Arial" w:cs="Arial"/>
          <w:color w:val="000000"/>
          <w:sz w:val="20"/>
          <w:szCs w:val="20"/>
        </w:rPr>
        <w:t>20.00 per cent as on December 31, 2024</w:t>
      </w:r>
    </w:p>
    <w:p w:rsidR="00C96881" w:rsidRDefault="00C96881" w:rsidP="00DA1141">
      <w:pPr>
        <w:pStyle w:val="NormalWeb"/>
        <w:numPr>
          <w:ilvl w:val="0"/>
          <w:numId w:val="17"/>
        </w:numPr>
        <w:ind w:left="0"/>
        <w:jc w:val="both"/>
        <w:rPr>
          <w:rFonts w:ascii="Arial" w:hAnsi="Arial" w:cs="Arial"/>
          <w:color w:val="000000"/>
          <w:sz w:val="20"/>
          <w:szCs w:val="20"/>
        </w:rPr>
      </w:pPr>
      <w:r>
        <w:rPr>
          <w:rFonts w:ascii="Arial" w:hAnsi="Arial" w:cs="Arial"/>
          <w:color w:val="000000"/>
          <w:sz w:val="20"/>
          <w:szCs w:val="20"/>
        </w:rPr>
        <w:t>19.50 per cent as on March 31, 2025</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All other instructions shall remain unchanged.</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5. The relevant sections of the Master Direction are being amended to reflect the aforementioned changes.</w:t>
      </w:r>
    </w:p>
    <w:p w:rsidR="00C96881" w:rsidRDefault="00C96881" w:rsidP="00C96881">
      <w:pPr>
        <w:pStyle w:val="head"/>
        <w:jc w:val="both"/>
        <w:rPr>
          <w:rFonts w:ascii="Arial" w:hAnsi="Arial" w:cs="Arial"/>
          <w:b/>
          <w:bCs/>
          <w:color w:val="000000"/>
          <w:sz w:val="20"/>
          <w:szCs w:val="20"/>
        </w:rPr>
      </w:pPr>
      <w:r>
        <w:rPr>
          <w:rFonts w:ascii="Arial" w:hAnsi="Arial" w:cs="Arial"/>
          <w:b/>
          <w:bCs/>
          <w:color w:val="000000"/>
          <w:sz w:val="20"/>
          <w:szCs w:val="20"/>
        </w:rPr>
        <w:t>Applicability</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6. This circular is applicable to all Commercial Banks.</w:t>
      </w:r>
    </w:p>
    <w:p w:rsidR="00C96881" w:rsidRDefault="00C96881" w:rsidP="00C96881">
      <w:pPr>
        <w:pStyle w:val="NormalWeb"/>
        <w:jc w:val="both"/>
        <w:rPr>
          <w:rFonts w:ascii="Arial" w:hAnsi="Arial" w:cs="Arial"/>
          <w:color w:val="000000"/>
          <w:sz w:val="20"/>
          <w:szCs w:val="20"/>
        </w:rPr>
      </w:pPr>
      <w:r>
        <w:rPr>
          <w:rFonts w:ascii="Arial" w:hAnsi="Arial" w:cs="Arial"/>
          <w:color w:val="000000"/>
          <w:sz w:val="20"/>
          <w:szCs w:val="20"/>
        </w:rPr>
        <w:t>7. These instructions shall come into force with immediate effect.</w:t>
      </w:r>
    </w:p>
    <w:p w:rsidR="00C96881" w:rsidRDefault="00C96881" w:rsidP="00C96881">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C96881" w:rsidRDefault="00C96881" w:rsidP="00C96881">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C96881" w:rsidRDefault="00C96881" w:rsidP="00C96881">
      <w:pPr>
        <w:spacing w:after="0"/>
        <w:rPr>
          <w:rFonts w:ascii="Arial" w:hAnsi="Arial" w:cs="Arial"/>
          <w:sz w:val="20"/>
          <w:szCs w:val="20"/>
        </w:rPr>
      </w:pPr>
    </w:p>
    <w:p w:rsidR="00C96881" w:rsidRDefault="00C96881" w:rsidP="00C96881">
      <w:pPr>
        <w:spacing w:after="0"/>
        <w:rPr>
          <w:rFonts w:ascii="Arial" w:hAnsi="Arial" w:cs="Arial"/>
          <w:sz w:val="20"/>
          <w:szCs w:val="20"/>
        </w:rPr>
      </w:pPr>
    </w:p>
    <w:p w:rsidR="00C96881" w:rsidRDefault="00C96881" w:rsidP="00C96881">
      <w:pPr>
        <w:spacing w:after="0"/>
        <w:rPr>
          <w:rFonts w:ascii="Arial" w:hAnsi="Arial" w:cs="Arial"/>
          <w:sz w:val="20"/>
          <w:szCs w:val="20"/>
        </w:rPr>
      </w:pPr>
      <w:r w:rsidRPr="00435B25">
        <w:rPr>
          <w:rFonts w:ascii="Arial" w:hAnsi="Arial" w:cs="Arial"/>
          <w:sz w:val="20"/>
          <w:szCs w:val="20"/>
        </w:rPr>
        <w:lastRenderedPageBreak/>
        <w:t>More details can be referred to in the below link.</w:t>
      </w:r>
    </w:p>
    <w:p w:rsidR="00C96881" w:rsidRDefault="00C96881" w:rsidP="00C96881">
      <w:pPr>
        <w:rPr>
          <w:rStyle w:val="Hyperlink"/>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181" w:anchor=":~:text=Review%20of%20SLR%20holdings%20in%20HTM%20category&amp;text=3.,4" w:history="1">
        <w:r w:rsidRPr="006865D6">
          <w:rPr>
            <w:rStyle w:val="Hyperlink"/>
            <w:rFonts w:ascii="Arial" w:hAnsi="Arial" w:cs="Arial"/>
            <w:sz w:val="20"/>
            <w:szCs w:val="20"/>
          </w:rPr>
          <w:t>https://www.rbi.org.in/scripts/FS_Notification.aspx?Id=12422&amp;fn=2&amp;Mode=0#:~:text=Review%20of%20SLR%20holdings%20in%20HTM%20category&amp;text=3.,4</w:t>
        </w:r>
      </w:hyperlink>
    </w:p>
    <w:p w:rsidR="00DA1141" w:rsidRDefault="00DA1141" w:rsidP="00C96881">
      <w:pPr>
        <w:rPr>
          <w:rStyle w:val="Hyperlink"/>
          <w:rFonts w:ascii="Arial" w:hAnsi="Arial" w:cs="Arial"/>
          <w:sz w:val="20"/>
          <w:szCs w:val="20"/>
        </w:rPr>
      </w:pPr>
    </w:p>
    <w:p w:rsidR="00DA1141" w:rsidRPr="005A38FC" w:rsidRDefault="00DA1141" w:rsidP="00DA1141">
      <w:pPr>
        <w:spacing w:after="0"/>
        <w:rPr>
          <w:rFonts w:ascii="Arial" w:hAnsi="Arial" w:cs="Arial"/>
          <w:b/>
          <w:bCs/>
          <w:color w:val="000000"/>
          <w:sz w:val="20"/>
          <w:szCs w:val="20"/>
        </w:rPr>
      </w:pPr>
      <w:r w:rsidRPr="005A38FC">
        <w:rPr>
          <w:rFonts w:ascii="Arial" w:hAnsi="Arial" w:cs="Arial"/>
          <w:b/>
          <w:bCs/>
          <w:color w:val="000000"/>
          <w:sz w:val="20"/>
          <w:szCs w:val="20"/>
        </w:rPr>
        <w:t>Hedging of Gold Price Risk in Overseas Markets</w:t>
      </w:r>
    </w:p>
    <w:p w:rsidR="00DA1141" w:rsidRPr="005A38FC" w:rsidRDefault="00DA1141" w:rsidP="00DA1141">
      <w:pPr>
        <w:pStyle w:val="NormalWeb"/>
        <w:rPr>
          <w:rFonts w:ascii="Arial" w:hAnsi="Arial" w:cs="Arial"/>
          <w:sz w:val="20"/>
          <w:szCs w:val="20"/>
        </w:rPr>
      </w:pPr>
      <w:r w:rsidRPr="005A38FC">
        <w:rPr>
          <w:rFonts w:ascii="Arial" w:hAnsi="Arial" w:cs="Arial"/>
          <w:sz w:val="20"/>
          <w:szCs w:val="20"/>
        </w:rPr>
        <w:t>RBI/2022-23/151</w:t>
      </w:r>
      <w:r w:rsidRPr="005A38FC">
        <w:rPr>
          <w:rFonts w:ascii="Arial" w:hAnsi="Arial" w:cs="Arial"/>
          <w:sz w:val="20"/>
          <w:szCs w:val="20"/>
        </w:rPr>
        <w:br/>
        <w:t>A. P. (DIR Series) Circular No. 19</w:t>
      </w:r>
    </w:p>
    <w:p w:rsidR="00DA1141" w:rsidRPr="005A38FC" w:rsidRDefault="00DA1141" w:rsidP="00DA1141">
      <w:pPr>
        <w:pStyle w:val="NormalWeb"/>
        <w:jc w:val="right"/>
        <w:rPr>
          <w:rFonts w:ascii="Arial" w:hAnsi="Arial" w:cs="Arial"/>
          <w:sz w:val="20"/>
          <w:szCs w:val="20"/>
        </w:rPr>
      </w:pPr>
      <w:r w:rsidRPr="005A38FC">
        <w:rPr>
          <w:rFonts w:ascii="Arial" w:hAnsi="Arial" w:cs="Arial"/>
          <w:sz w:val="20"/>
          <w:szCs w:val="20"/>
        </w:rPr>
        <w:t>December 12, 2022</w:t>
      </w:r>
    </w:p>
    <w:p w:rsidR="00DA1141" w:rsidRPr="005A38FC" w:rsidRDefault="00DA1141" w:rsidP="00DA1141">
      <w:pPr>
        <w:pStyle w:val="NormalWeb"/>
        <w:spacing w:before="0" w:beforeAutospacing="0" w:after="0" w:afterAutospacing="0"/>
        <w:rPr>
          <w:rFonts w:ascii="Arial" w:hAnsi="Arial" w:cs="Arial"/>
          <w:sz w:val="20"/>
          <w:szCs w:val="20"/>
        </w:rPr>
      </w:pPr>
      <w:r w:rsidRPr="005A38FC">
        <w:rPr>
          <w:rFonts w:ascii="Arial" w:hAnsi="Arial" w:cs="Arial"/>
          <w:sz w:val="20"/>
          <w:szCs w:val="20"/>
        </w:rPr>
        <w:t>All Authorised Dealer Category – I Banks</w:t>
      </w:r>
    </w:p>
    <w:p w:rsidR="00DA1141" w:rsidRPr="005A38FC" w:rsidRDefault="00DA1141" w:rsidP="00DA1141">
      <w:pPr>
        <w:pStyle w:val="NormalWeb"/>
        <w:spacing w:before="0" w:beforeAutospacing="0" w:after="0" w:afterAutospacing="0"/>
        <w:rPr>
          <w:rFonts w:ascii="Arial" w:hAnsi="Arial" w:cs="Arial"/>
          <w:sz w:val="20"/>
          <w:szCs w:val="20"/>
        </w:rPr>
      </w:pPr>
      <w:r w:rsidRPr="005A38FC">
        <w:rPr>
          <w:rFonts w:ascii="Arial" w:hAnsi="Arial" w:cs="Arial"/>
          <w:sz w:val="20"/>
          <w:szCs w:val="20"/>
        </w:rPr>
        <w:t>Madam / Sir,</w:t>
      </w:r>
    </w:p>
    <w:p w:rsidR="00DA1141" w:rsidRPr="005A38FC" w:rsidRDefault="00DA1141" w:rsidP="00DA1141">
      <w:pPr>
        <w:pStyle w:val="head"/>
        <w:jc w:val="center"/>
        <w:rPr>
          <w:rFonts w:ascii="Arial" w:hAnsi="Arial" w:cs="Arial"/>
          <w:b/>
          <w:bCs/>
          <w:sz w:val="20"/>
          <w:szCs w:val="20"/>
        </w:rPr>
      </w:pPr>
      <w:r w:rsidRPr="005A38FC">
        <w:rPr>
          <w:rFonts w:ascii="Arial" w:hAnsi="Arial" w:cs="Arial"/>
          <w:b/>
          <w:bCs/>
          <w:sz w:val="20"/>
          <w:szCs w:val="20"/>
        </w:rPr>
        <w:t>Hedging of Gold Price Risk in Overseas Markets</w:t>
      </w:r>
    </w:p>
    <w:p w:rsidR="00DA1141" w:rsidRPr="005A38FC" w:rsidRDefault="00DA1141" w:rsidP="00DA1141">
      <w:pPr>
        <w:pStyle w:val="NormalWeb"/>
        <w:rPr>
          <w:rFonts w:ascii="Arial" w:hAnsi="Arial" w:cs="Arial"/>
          <w:sz w:val="20"/>
          <w:szCs w:val="20"/>
        </w:rPr>
      </w:pPr>
      <w:r w:rsidRPr="005A38FC">
        <w:rPr>
          <w:rFonts w:ascii="Arial" w:hAnsi="Arial" w:cs="Arial"/>
          <w:sz w:val="20"/>
          <w:szCs w:val="20"/>
        </w:rPr>
        <w:t>Please refer to Paragraph 4 of the </w:t>
      </w:r>
      <w:hyperlink r:id="rId182" w:tgtFrame="_blank" w:history="1">
        <w:r w:rsidRPr="005A38FC">
          <w:rPr>
            <w:rStyle w:val="Hyperlink"/>
            <w:rFonts w:ascii="Arial" w:hAnsi="Arial" w:cs="Arial"/>
            <w:sz w:val="20"/>
            <w:szCs w:val="20"/>
          </w:rPr>
          <w:t>Statement on Developmental and Regulatory Policies</w:t>
        </w:r>
      </w:hyperlink>
      <w:r w:rsidRPr="005A38FC">
        <w:rPr>
          <w:rFonts w:ascii="Arial" w:hAnsi="Arial" w:cs="Arial"/>
          <w:sz w:val="20"/>
          <w:szCs w:val="20"/>
        </w:rPr>
        <w:t> announced as a part of the </w:t>
      </w:r>
      <w:hyperlink r:id="rId183" w:tgtFrame="_blank" w:history="1">
        <w:r w:rsidRPr="005A38FC">
          <w:rPr>
            <w:rStyle w:val="Hyperlink"/>
            <w:rFonts w:ascii="Arial" w:hAnsi="Arial" w:cs="Arial"/>
            <w:sz w:val="20"/>
            <w:szCs w:val="20"/>
          </w:rPr>
          <w:t>Bi-monthly Monetary Policy Statement for 2022-23 dated December 07, 2022</w:t>
        </w:r>
      </w:hyperlink>
      <w:r w:rsidRPr="005A38FC">
        <w:rPr>
          <w:rFonts w:ascii="Arial" w:hAnsi="Arial" w:cs="Arial"/>
          <w:sz w:val="20"/>
          <w:szCs w:val="20"/>
        </w:rPr>
        <w:t> regarding hedging of price risk of gold in overseas markets. Attention is also invited to the </w:t>
      </w:r>
      <w:hyperlink r:id="rId184" w:tgtFrame="_blank" w:history="1">
        <w:r w:rsidRPr="005A38FC">
          <w:rPr>
            <w:rStyle w:val="Hyperlink"/>
            <w:rFonts w:ascii="Arial" w:hAnsi="Arial" w:cs="Arial"/>
            <w:sz w:val="20"/>
            <w:szCs w:val="20"/>
          </w:rPr>
          <w:t>Hedging of Commodity Price Risk and Freight Risk in Overseas Markets (Reserve Bank) Directions, 2018 dated March 12, 2018</w:t>
        </w:r>
      </w:hyperlink>
      <w:r w:rsidRPr="005A38FC">
        <w:rPr>
          <w:rFonts w:ascii="Arial" w:hAnsi="Arial" w:cs="Arial"/>
          <w:sz w:val="20"/>
          <w:szCs w:val="20"/>
        </w:rPr>
        <w:t>, as amended from time to time.</w:t>
      </w:r>
    </w:p>
    <w:p w:rsidR="00DA1141" w:rsidRPr="005A38FC" w:rsidRDefault="00DA1141" w:rsidP="00DA1141">
      <w:pPr>
        <w:pStyle w:val="NormalWeb"/>
        <w:rPr>
          <w:rFonts w:ascii="Arial" w:hAnsi="Arial" w:cs="Arial"/>
          <w:sz w:val="20"/>
          <w:szCs w:val="20"/>
        </w:rPr>
      </w:pPr>
      <w:r w:rsidRPr="005A38FC">
        <w:rPr>
          <w:rFonts w:ascii="Arial" w:hAnsi="Arial" w:cs="Arial"/>
          <w:sz w:val="20"/>
          <w:szCs w:val="20"/>
        </w:rPr>
        <w:t>2. Resident entities in India are currently not permitted to hedge their exposure to price risk of gold in overseas markets. On a review, it has been decided to permit eligible entities to hedge their exposure to price risk of gold on exchanges in the International Financial Services Centre (IFSC) recognised by the International Financial Services Centres Authority (IFSCA).</w:t>
      </w:r>
    </w:p>
    <w:p w:rsidR="00DA1141" w:rsidRPr="005A38FC" w:rsidRDefault="00DA1141" w:rsidP="00DA1141">
      <w:pPr>
        <w:pStyle w:val="NormalWeb"/>
        <w:rPr>
          <w:rFonts w:ascii="Arial" w:hAnsi="Arial" w:cs="Arial"/>
          <w:sz w:val="20"/>
          <w:szCs w:val="20"/>
        </w:rPr>
      </w:pPr>
      <w:r w:rsidRPr="005A38FC">
        <w:rPr>
          <w:rFonts w:ascii="Arial" w:hAnsi="Arial" w:cs="Arial"/>
          <w:sz w:val="20"/>
          <w:szCs w:val="20"/>
        </w:rPr>
        <w:t>3. The Master Direction – Foreign Exchange Management (Hedging of Commodity Price Risk and Freight Risk in Overseas Markets) Directions, 2022 (</w:t>
      </w:r>
      <w:hyperlink r:id="rId185" w:tgtFrame="_blank" w:history="1">
        <w:r w:rsidRPr="005A38FC">
          <w:rPr>
            <w:rStyle w:val="Hyperlink"/>
            <w:rFonts w:ascii="Arial" w:hAnsi="Arial" w:cs="Arial"/>
            <w:sz w:val="20"/>
            <w:szCs w:val="20"/>
          </w:rPr>
          <w:t>A. P. (DIR Series) Circular No. 21 dated December 12, 2022</w:t>
        </w:r>
      </w:hyperlink>
      <w:r w:rsidRPr="005A38FC">
        <w:rPr>
          <w:rFonts w:ascii="Arial" w:hAnsi="Arial" w:cs="Arial"/>
          <w:sz w:val="20"/>
          <w:szCs w:val="20"/>
        </w:rPr>
        <w:t>) have been issued today and are enclosed herewith.</w:t>
      </w:r>
    </w:p>
    <w:p w:rsidR="00DA1141" w:rsidRPr="005A38FC" w:rsidRDefault="00DA1141" w:rsidP="00DA1141">
      <w:pPr>
        <w:pStyle w:val="NormalWeb"/>
        <w:rPr>
          <w:rFonts w:ascii="Arial" w:hAnsi="Arial" w:cs="Arial"/>
          <w:sz w:val="20"/>
          <w:szCs w:val="20"/>
        </w:rPr>
      </w:pPr>
      <w:r w:rsidRPr="005A38FC">
        <w:rPr>
          <w:rFonts w:ascii="Arial" w:hAnsi="Arial" w:cs="Arial"/>
          <w:sz w:val="20"/>
          <w:szCs w:val="20"/>
        </w:rPr>
        <w:t>4. The directions contained in this circular have been issued under Sections 10(4) and 11(1) of the Foreign Exchange Management Act, 1999 (42 of 1999) and are without prejudice to permissions/ approvals, if any, required under any other law.</w:t>
      </w:r>
    </w:p>
    <w:p w:rsidR="00DA1141" w:rsidRPr="005A38FC" w:rsidRDefault="00DA1141" w:rsidP="00DA1141">
      <w:pPr>
        <w:pStyle w:val="NormalWeb"/>
        <w:spacing w:before="0" w:beforeAutospacing="0" w:after="0" w:afterAutospacing="0"/>
        <w:rPr>
          <w:rFonts w:ascii="Arial" w:hAnsi="Arial" w:cs="Arial"/>
          <w:sz w:val="20"/>
          <w:szCs w:val="20"/>
        </w:rPr>
      </w:pPr>
      <w:r w:rsidRPr="005A38FC">
        <w:rPr>
          <w:rFonts w:ascii="Arial" w:hAnsi="Arial" w:cs="Arial"/>
          <w:sz w:val="20"/>
          <w:szCs w:val="20"/>
        </w:rPr>
        <w:t>Yours faithfully,</w:t>
      </w:r>
    </w:p>
    <w:p w:rsidR="00DA1141" w:rsidRPr="005A38FC" w:rsidRDefault="00DA1141" w:rsidP="00DA1141">
      <w:pPr>
        <w:pStyle w:val="NormalWeb"/>
        <w:spacing w:before="0" w:beforeAutospacing="0" w:after="0" w:afterAutospacing="0"/>
        <w:rPr>
          <w:rFonts w:ascii="Arial" w:hAnsi="Arial" w:cs="Arial"/>
          <w:sz w:val="20"/>
          <w:szCs w:val="20"/>
        </w:rPr>
      </w:pPr>
      <w:r w:rsidRPr="005A38FC">
        <w:rPr>
          <w:rFonts w:ascii="Arial" w:hAnsi="Arial" w:cs="Arial"/>
          <w:sz w:val="20"/>
          <w:szCs w:val="20"/>
        </w:rPr>
        <w:t xml:space="preserve">(Dimple </w:t>
      </w:r>
      <w:proofErr w:type="spellStart"/>
      <w:r w:rsidRPr="005A38FC">
        <w:rPr>
          <w:rFonts w:ascii="Arial" w:hAnsi="Arial" w:cs="Arial"/>
          <w:sz w:val="20"/>
          <w:szCs w:val="20"/>
        </w:rPr>
        <w:t>Bhandia</w:t>
      </w:r>
      <w:proofErr w:type="spellEnd"/>
      <w:r w:rsidRPr="005A38FC">
        <w:rPr>
          <w:rFonts w:ascii="Arial" w:hAnsi="Arial" w:cs="Arial"/>
          <w:sz w:val="20"/>
          <w:szCs w:val="20"/>
        </w:rPr>
        <w:t>)</w:t>
      </w:r>
      <w:r w:rsidRPr="005A38FC">
        <w:rPr>
          <w:rFonts w:ascii="Arial" w:hAnsi="Arial" w:cs="Arial"/>
          <w:sz w:val="20"/>
          <w:szCs w:val="20"/>
        </w:rPr>
        <w:br/>
        <w:t>Chief General Manager</w:t>
      </w: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Pr="00435B25" w:rsidRDefault="00DA1141" w:rsidP="00DA1141">
      <w:pPr>
        <w:spacing w:after="0"/>
        <w:rPr>
          <w:rFonts w:ascii="Arial" w:hAnsi="Arial" w:cs="Arial"/>
          <w:sz w:val="20"/>
          <w:szCs w:val="20"/>
        </w:rPr>
      </w:pPr>
      <w:r w:rsidRPr="00435B25">
        <w:rPr>
          <w:rFonts w:ascii="Arial" w:hAnsi="Arial" w:cs="Arial"/>
          <w:sz w:val="20"/>
          <w:szCs w:val="20"/>
        </w:rPr>
        <w:t>More details can be referred to in the below link.</w:t>
      </w:r>
    </w:p>
    <w:p w:rsidR="00DA1141" w:rsidRDefault="00DA1141" w:rsidP="00DA1141">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186" w:anchor=":~:text=Hedging%20of%20Gold%20Price%20Risk%20in%20Overseas%20Markets&amp;text=Resident%20entities%20in%20India%20are,of%20gold%20in%20overseas%20markets" w:history="1">
        <w:r w:rsidRPr="00200311">
          <w:rPr>
            <w:rStyle w:val="Hyperlink"/>
            <w:rFonts w:ascii="Arial" w:hAnsi="Arial" w:cs="Arial"/>
            <w:sz w:val="20"/>
            <w:szCs w:val="20"/>
          </w:rPr>
          <w:t>https://m.rbi.org.in/scripts/FS_Notification.aspx?Id=12423&amp;fn=6&amp;Mode=0#:~:text=Hedging%20of%20Gold%20Price%20Risk%20in%20Overseas%20Markets&amp;text=Resident%20entities%20in%20India%20are,of%20gold%20in%20overseas%20markets</w:t>
        </w:r>
      </w:hyperlink>
      <w:r w:rsidRPr="005A38FC">
        <w:rPr>
          <w:rFonts w:ascii="Arial" w:hAnsi="Arial" w:cs="Arial"/>
          <w:sz w:val="20"/>
          <w:szCs w:val="20"/>
        </w:rPr>
        <w:t>.</w:t>
      </w: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b/>
          <w:bCs/>
          <w:color w:val="000000"/>
          <w:sz w:val="20"/>
          <w:szCs w:val="20"/>
        </w:rPr>
      </w:pPr>
      <w:r>
        <w:rPr>
          <w:rFonts w:ascii="Arial" w:hAnsi="Arial" w:cs="Arial"/>
          <w:b/>
          <w:bCs/>
          <w:color w:val="000000"/>
          <w:sz w:val="20"/>
          <w:szCs w:val="20"/>
        </w:rPr>
        <w:t>Master Direction – Foreign Exchange Management (Hedging of Commodity Price Risk and Freight Risk in Overseas Markets) Directions, 2022</w:t>
      </w:r>
    </w:p>
    <w:p w:rsidR="00DA1141" w:rsidRDefault="00DA1141" w:rsidP="00DA1141">
      <w:pPr>
        <w:spacing w:after="0"/>
        <w:rPr>
          <w:rFonts w:ascii="Arial" w:hAnsi="Arial" w:cs="Arial"/>
          <w:b/>
          <w:bCs/>
          <w:color w:val="000000"/>
          <w:sz w:val="20"/>
          <w:szCs w:val="20"/>
        </w:rPr>
      </w:pPr>
    </w:p>
    <w:p w:rsidR="00DA1141" w:rsidRDefault="00DA1141" w:rsidP="00DA1141">
      <w:pPr>
        <w:pStyle w:val="NormalWeb"/>
        <w:jc w:val="both"/>
        <w:rPr>
          <w:rFonts w:ascii="Arial" w:hAnsi="Arial" w:cs="Arial"/>
          <w:color w:val="000000"/>
          <w:sz w:val="20"/>
          <w:szCs w:val="20"/>
        </w:rPr>
      </w:pPr>
      <w:r>
        <w:rPr>
          <w:rFonts w:ascii="Arial" w:hAnsi="Arial" w:cs="Arial"/>
          <w:color w:val="000000"/>
          <w:sz w:val="20"/>
          <w:szCs w:val="20"/>
        </w:rPr>
        <w:t>RBI/2022-2023/94</w:t>
      </w:r>
      <w:r>
        <w:rPr>
          <w:rFonts w:ascii="Arial" w:hAnsi="Arial" w:cs="Arial"/>
          <w:color w:val="000000"/>
          <w:sz w:val="20"/>
          <w:szCs w:val="20"/>
        </w:rPr>
        <w:br/>
        <w:t>A. P. (DIR Series) Circular No. 20</w:t>
      </w:r>
    </w:p>
    <w:p w:rsidR="00DA1141" w:rsidRDefault="00DA1141" w:rsidP="00DA1141">
      <w:pPr>
        <w:pStyle w:val="NormalWeb"/>
        <w:jc w:val="right"/>
        <w:rPr>
          <w:rFonts w:ascii="Arial" w:hAnsi="Arial" w:cs="Arial"/>
          <w:color w:val="000000"/>
          <w:sz w:val="20"/>
          <w:szCs w:val="20"/>
        </w:rPr>
      </w:pPr>
      <w:r>
        <w:rPr>
          <w:rFonts w:ascii="Arial" w:hAnsi="Arial" w:cs="Arial"/>
          <w:color w:val="000000"/>
          <w:sz w:val="20"/>
          <w:szCs w:val="20"/>
        </w:rPr>
        <w:t>December 12, 2022</w:t>
      </w:r>
    </w:p>
    <w:p w:rsidR="00DA1141" w:rsidRDefault="00DA1141" w:rsidP="00DA1141">
      <w:pPr>
        <w:pStyle w:val="NormalWeb"/>
        <w:jc w:val="both"/>
        <w:rPr>
          <w:rFonts w:ascii="Arial" w:hAnsi="Arial" w:cs="Arial"/>
          <w:color w:val="000000"/>
          <w:sz w:val="20"/>
          <w:szCs w:val="20"/>
        </w:rPr>
      </w:pPr>
      <w:r>
        <w:rPr>
          <w:rFonts w:ascii="Arial" w:hAnsi="Arial" w:cs="Arial"/>
          <w:color w:val="000000"/>
          <w:sz w:val="20"/>
          <w:szCs w:val="20"/>
        </w:rPr>
        <w:t>All Authorised Dealer Category – I Banks</w:t>
      </w:r>
    </w:p>
    <w:p w:rsidR="00DA1141" w:rsidRDefault="00DA1141" w:rsidP="00DA1141">
      <w:pPr>
        <w:pStyle w:val="NormalWeb"/>
        <w:jc w:val="both"/>
        <w:rPr>
          <w:rFonts w:ascii="Arial" w:hAnsi="Arial" w:cs="Arial"/>
          <w:color w:val="000000"/>
          <w:sz w:val="20"/>
          <w:szCs w:val="20"/>
        </w:rPr>
      </w:pPr>
      <w:r>
        <w:rPr>
          <w:rFonts w:ascii="Arial" w:hAnsi="Arial" w:cs="Arial"/>
          <w:color w:val="000000"/>
          <w:sz w:val="20"/>
          <w:szCs w:val="20"/>
        </w:rPr>
        <w:t>Madam / Sir,</w:t>
      </w:r>
    </w:p>
    <w:p w:rsidR="00DA1141" w:rsidRDefault="00DA1141" w:rsidP="00DA1141">
      <w:pPr>
        <w:pStyle w:val="head"/>
        <w:jc w:val="center"/>
        <w:rPr>
          <w:rFonts w:ascii="Arial" w:hAnsi="Arial" w:cs="Arial"/>
          <w:b/>
          <w:bCs/>
          <w:color w:val="000000"/>
          <w:sz w:val="20"/>
          <w:szCs w:val="20"/>
        </w:rPr>
      </w:pPr>
      <w:r>
        <w:rPr>
          <w:rFonts w:ascii="Arial" w:hAnsi="Arial" w:cs="Arial"/>
          <w:b/>
          <w:bCs/>
          <w:color w:val="000000"/>
          <w:sz w:val="20"/>
          <w:szCs w:val="20"/>
        </w:rPr>
        <w:t>Master Direction – Foreign Exchange Management (Hedging of Commodity Price Risk</w:t>
      </w:r>
      <w:r>
        <w:rPr>
          <w:rFonts w:ascii="Arial" w:hAnsi="Arial" w:cs="Arial"/>
          <w:b/>
          <w:bCs/>
          <w:color w:val="000000"/>
          <w:sz w:val="20"/>
          <w:szCs w:val="20"/>
        </w:rPr>
        <w:br/>
        <w:t>and Freight Risk in Overseas Markets) Directions, 2022</w:t>
      </w:r>
    </w:p>
    <w:p w:rsidR="00DA1141" w:rsidRDefault="00DA1141" w:rsidP="00DA1141">
      <w:pPr>
        <w:pStyle w:val="NormalWeb"/>
        <w:jc w:val="both"/>
        <w:rPr>
          <w:rFonts w:ascii="Arial" w:hAnsi="Arial" w:cs="Arial"/>
          <w:color w:val="000000"/>
          <w:sz w:val="20"/>
          <w:szCs w:val="20"/>
        </w:rPr>
      </w:pPr>
      <w:r>
        <w:rPr>
          <w:rFonts w:ascii="Arial" w:hAnsi="Arial" w:cs="Arial"/>
          <w:color w:val="000000"/>
          <w:sz w:val="20"/>
          <w:szCs w:val="20"/>
        </w:rPr>
        <w:t>Attention of Authorised Dealer Category - I (AD Cat-I) banks is invited to Regulation 6 and 6A of the Foreign Exchange Management (Foreign Exchange Derivative Contracts) Regulations, 2000 dated May 3, 2000 (</w:t>
      </w:r>
      <w:hyperlink r:id="rId187" w:tgtFrame="_blank" w:history="1">
        <w:r>
          <w:rPr>
            <w:rStyle w:val="Hyperlink"/>
            <w:rFonts w:ascii="Arial" w:hAnsi="Arial" w:cs="Arial"/>
            <w:sz w:val="20"/>
            <w:szCs w:val="20"/>
          </w:rPr>
          <w:t>Notification No. FEMA. 25/RB-2000 dated May 3, 2000</w:t>
        </w:r>
      </w:hyperlink>
      <w:r>
        <w:rPr>
          <w:rFonts w:ascii="Arial" w:hAnsi="Arial" w:cs="Arial"/>
          <w:color w:val="000000"/>
          <w:sz w:val="20"/>
          <w:szCs w:val="20"/>
        </w:rPr>
        <w:t>), as amended from time to time, issued under clause (h) of sub-section (2) of Section 47 of Foreign Exchange Management Act, 1999 (Act 42 of 1999) as amended from time to time.</w:t>
      </w:r>
    </w:p>
    <w:p w:rsidR="00DA1141" w:rsidRDefault="00DA1141" w:rsidP="00DA1141">
      <w:pPr>
        <w:pStyle w:val="NormalWeb"/>
        <w:jc w:val="both"/>
        <w:rPr>
          <w:rFonts w:ascii="Arial" w:hAnsi="Arial" w:cs="Arial"/>
          <w:color w:val="000000"/>
          <w:sz w:val="20"/>
          <w:szCs w:val="20"/>
        </w:rPr>
      </w:pPr>
      <w:r>
        <w:rPr>
          <w:rFonts w:ascii="Arial" w:hAnsi="Arial" w:cs="Arial"/>
          <w:color w:val="000000"/>
          <w:sz w:val="20"/>
          <w:szCs w:val="20"/>
        </w:rPr>
        <w:t>2. Within the contours of the Regulations, the Reserve Bank issues directions to Authorised Persons under Section 11 of the Foreign Exchange Management Act, 1999 (Act 42 of 1999). These Directions lay down the modalities for the AD Cat-I banks for facilitating hedging of commodity price risk and freight risk in overseas markets by their customers / constituents.</w:t>
      </w:r>
    </w:p>
    <w:p w:rsidR="00DA1141" w:rsidRDefault="00DA1141" w:rsidP="00DA1141">
      <w:pPr>
        <w:pStyle w:val="NormalWeb"/>
        <w:jc w:val="both"/>
        <w:rPr>
          <w:rFonts w:ascii="Arial" w:hAnsi="Arial" w:cs="Arial"/>
          <w:color w:val="000000"/>
          <w:sz w:val="20"/>
          <w:szCs w:val="20"/>
        </w:rPr>
      </w:pPr>
      <w:r>
        <w:rPr>
          <w:rFonts w:ascii="Arial" w:hAnsi="Arial" w:cs="Arial"/>
          <w:color w:val="000000"/>
          <w:sz w:val="20"/>
          <w:szCs w:val="20"/>
        </w:rPr>
        <w:t>3. The Master Direction – Foreign Exchange Management (Hedging of Commodity Price Risk and Freight Risk in Overseas Markets) Directions, 2022 are </w:t>
      </w:r>
      <w:hyperlink r:id="rId188" w:anchor="enclosed" w:history="1">
        <w:r>
          <w:rPr>
            <w:rStyle w:val="Hyperlink"/>
            <w:rFonts w:ascii="Arial" w:hAnsi="Arial" w:cs="Arial"/>
            <w:sz w:val="20"/>
            <w:szCs w:val="20"/>
          </w:rPr>
          <w:t>enclosed</w:t>
        </w:r>
      </w:hyperlink>
      <w:r>
        <w:rPr>
          <w:rFonts w:ascii="Arial" w:hAnsi="Arial" w:cs="Arial"/>
          <w:color w:val="000000"/>
          <w:sz w:val="20"/>
          <w:szCs w:val="20"/>
        </w:rPr>
        <w:t> herewith. AD Cat-I banks may bring the contents of these Directions to the notice of their customers / constituents concerned.</w:t>
      </w:r>
    </w:p>
    <w:p w:rsidR="00DA1141" w:rsidRDefault="00DA1141" w:rsidP="00DA1141">
      <w:pPr>
        <w:pStyle w:val="NormalWeb"/>
        <w:jc w:val="both"/>
        <w:rPr>
          <w:rFonts w:ascii="Arial" w:hAnsi="Arial" w:cs="Arial"/>
          <w:color w:val="000000"/>
          <w:sz w:val="20"/>
          <w:szCs w:val="20"/>
        </w:rPr>
      </w:pPr>
      <w:r>
        <w:rPr>
          <w:rFonts w:ascii="Arial" w:hAnsi="Arial" w:cs="Arial"/>
          <w:color w:val="000000"/>
          <w:sz w:val="20"/>
          <w:szCs w:val="20"/>
        </w:rPr>
        <w:t>4. The directions contained in this circular have been issued under Sections 10(4) and 11(1) of the Foreign Exchange Management Act, 1999 (42 of 1999) and are without prejudice to permissions/ approvals, if any, required under any other law.</w:t>
      </w:r>
    </w:p>
    <w:p w:rsidR="00DA1141" w:rsidRDefault="00DA1141" w:rsidP="00DA1141">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rsidR="00DA1141" w:rsidRDefault="00DA1141" w:rsidP="00DA1141">
      <w:pPr>
        <w:pStyle w:val="NormalWeb"/>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Pr="00435B25" w:rsidRDefault="00DA1141" w:rsidP="00DA1141">
      <w:pPr>
        <w:spacing w:after="0"/>
        <w:rPr>
          <w:rFonts w:ascii="Arial" w:hAnsi="Arial" w:cs="Arial"/>
          <w:sz w:val="20"/>
          <w:szCs w:val="20"/>
        </w:rPr>
      </w:pPr>
      <w:r w:rsidRPr="00435B25">
        <w:rPr>
          <w:rFonts w:ascii="Arial" w:hAnsi="Arial" w:cs="Arial"/>
          <w:sz w:val="20"/>
          <w:szCs w:val="20"/>
        </w:rPr>
        <w:t>More details can be referred to in the below link.</w:t>
      </w:r>
    </w:p>
    <w:p w:rsidR="00DA1141" w:rsidRDefault="00DA1141" w:rsidP="00DA1141">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189" w:history="1">
        <w:r w:rsidRPr="00200311">
          <w:rPr>
            <w:rStyle w:val="Hyperlink"/>
            <w:rFonts w:ascii="Arial" w:hAnsi="Arial" w:cs="Arial"/>
            <w:sz w:val="20"/>
            <w:szCs w:val="20"/>
          </w:rPr>
          <w:t>https://www.rbi.org.in/Scripts/BS_ViewMasDirections.aspx?id=12427</w:t>
        </w:r>
      </w:hyperlink>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b/>
          <w:bCs/>
          <w:color w:val="000000"/>
          <w:sz w:val="20"/>
          <w:szCs w:val="20"/>
        </w:rPr>
      </w:pPr>
      <w:r>
        <w:rPr>
          <w:rFonts w:ascii="Arial" w:hAnsi="Arial" w:cs="Arial"/>
          <w:b/>
          <w:bCs/>
          <w:color w:val="000000"/>
          <w:sz w:val="20"/>
          <w:szCs w:val="20"/>
        </w:rPr>
        <w:t>Data Format for Furnishing of Credit Information to Credit Information Companies and other Regulatory Measures</w:t>
      </w:r>
    </w:p>
    <w:p w:rsidR="00DA1141" w:rsidRDefault="00DA1141" w:rsidP="00DA1141">
      <w:pPr>
        <w:spacing w:after="0"/>
        <w:rPr>
          <w:rFonts w:ascii="Arial" w:hAnsi="Arial" w:cs="Arial"/>
          <w:b/>
          <w:bCs/>
          <w:color w:val="000000"/>
          <w:sz w:val="20"/>
          <w:szCs w:val="20"/>
        </w:rPr>
      </w:pPr>
    </w:p>
    <w:p w:rsidR="00DA1141" w:rsidRDefault="00DA1141" w:rsidP="00DA1141">
      <w:pPr>
        <w:pStyle w:val="NormalWeb"/>
        <w:jc w:val="both"/>
        <w:rPr>
          <w:rFonts w:ascii="Arial" w:hAnsi="Arial" w:cs="Arial"/>
          <w:color w:val="000000"/>
          <w:sz w:val="20"/>
          <w:szCs w:val="20"/>
        </w:rPr>
      </w:pPr>
      <w:r>
        <w:rPr>
          <w:rFonts w:ascii="Arial" w:hAnsi="Arial" w:cs="Arial"/>
          <w:color w:val="000000"/>
          <w:sz w:val="20"/>
          <w:szCs w:val="20"/>
        </w:rPr>
        <w:t>RBI/2022-23/154</w:t>
      </w:r>
      <w:r>
        <w:rPr>
          <w:rFonts w:ascii="Arial" w:hAnsi="Arial" w:cs="Arial"/>
          <w:color w:val="000000"/>
          <w:sz w:val="20"/>
          <w:szCs w:val="20"/>
        </w:rPr>
        <w:br/>
        <w:t>DoR.FIN.REC.90/20.16.056/2022-23</w:t>
      </w:r>
    </w:p>
    <w:p w:rsidR="00DA1141" w:rsidRDefault="00DA1141" w:rsidP="00DA1141">
      <w:pPr>
        <w:pStyle w:val="NormalWeb"/>
        <w:jc w:val="right"/>
        <w:rPr>
          <w:rFonts w:ascii="Arial" w:hAnsi="Arial" w:cs="Arial"/>
          <w:color w:val="000000"/>
          <w:sz w:val="20"/>
          <w:szCs w:val="20"/>
        </w:rPr>
      </w:pPr>
      <w:r>
        <w:rPr>
          <w:rFonts w:ascii="Arial" w:hAnsi="Arial" w:cs="Arial"/>
          <w:color w:val="000000"/>
          <w:sz w:val="20"/>
          <w:szCs w:val="20"/>
        </w:rPr>
        <w:t>December 13, 2022</w:t>
      </w:r>
    </w:p>
    <w:p w:rsidR="00DA1141" w:rsidRDefault="00DA1141" w:rsidP="00DA1141">
      <w:pPr>
        <w:pStyle w:val="NormalWeb"/>
        <w:rPr>
          <w:rFonts w:ascii="Arial" w:hAnsi="Arial" w:cs="Arial"/>
          <w:color w:val="000000"/>
          <w:sz w:val="20"/>
          <w:szCs w:val="20"/>
        </w:rPr>
      </w:pPr>
      <w:r>
        <w:rPr>
          <w:rFonts w:ascii="Arial" w:hAnsi="Arial" w:cs="Arial"/>
          <w:color w:val="000000"/>
          <w:sz w:val="20"/>
          <w:szCs w:val="20"/>
        </w:rPr>
        <w:t>All Commercial Banks (including Small Finance Banks, Local Area Banks and Regional Rural Banks)</w:t>
      </w:r>
      <w:r>
        <w:rPr>
          <w:rFonts w:ascii="Arial" w:hAnsi="Arial" w:cs="Arial"/>
          <w:color w:val="000000"/>
          <w:sz w:val="20"/>
          <w:szCs w:val="20"/>
        </w:rPr>
        <w:br/>
        <w:t>All Primary (Urban) Co-operative Banks/State Co-operative Banks/District Central Co-operative Banks</w:t>
      </w:r>
      <w:r>
        <w:rPr>
          <w:rFonts w:ascii="Arial" w:hAnsi="Arial" w:cs="Arial"/>
          <w:color w:val="000000"/>
          <w:sz w:val="20"/>
          <w:szCs w:val="20"/>
        </w:rPr>
        <w:br/>
        <w:t xml:space="preserve">All-India Financial Institutions (Exim Bank, NABARD, NHB, SIDBI and </w:t>
      </w:r>
      <w:proofErr w:type="spellStart"/>
      <w:r>
        <w:rPr>
          <w:rFonts w:ascii="Arial" w:hAnsi="Arial" w:cs="Arial"/>
          <w:color w:val="000000"/>
          <w:sz w:val="20"/>
          <w:szCs w:val="20"/>
        </w:rPr>
        <w:t>NaBFID</w:t>
      </w:r>
      <w:proofErr w:type="spellEnd"/>
      <w:r>
        <w:rPr>
          <w:rFonts w:ascii="Arial" w:hAnsi="Arial" w:cs="Arial"/>
          <w:color w:val="000000"/>
          <w:sz w:val="20"/>
          <w:szCs w:val="20"/>
        </w:rPr>
        <w:t>)</w:t>
      </w:r>
      <w:r>
        <w:rPr>
          <w:rFonts w:ascii="Arial" w:hAnsi="Arial" w:cs="Arial"/>
          <w:color w:val="000000"/>
          <w:sz w:val="20"/>
          <w:szCs w:val="20"/>
        </w:rPr>
        <w:br/>
        <w:t>All Non-Banking Financial Companies (including Housing Finance Companies)</w:t>
      </w:r>
      <w:r>
        <w:rPr>
          <w:rFonts w:ascii="Arial" w:hAnsi="Arial" w:cs="Arial"/>
          <w:color w:val="000000"/>
          <w:sz w:val="20"/>
          <w:szCs w:val="20"/>
        </w:rPr>
        <w:br/>
        <w:t>All Credit Information Companies</w:t>
      </w:r>
    </w:p>
    <w:p w:rsidR="00DA1141" w:rsidRDefault="00DA1141" w:rsidP="00DA1141">
      <w:pPr>
        <w:pStyle w:val="NormalWeb"/>
        <w:jc w:val="both"/>
        <w:rPr>
          <w:rFonts w:ascii="Arial" w:hAnsi="Arial" w:cs="Arial"/>
          <w:color w:val="000000"/>
          <w:sz w:val="20"/>
          <w:szCs w:val="20"/>
        </w:rPr>
      </w:pPr>
      <w:r>
        <w:rPr>
          <w:rFonts w:ascii="Arial" w:hAnsi="Arial" w:cs="Arial"/>
          <w:color w:val="000000"/>
          <w:sz w:val="20"/>
          <w:szCs w:val="20"/>
        </w:rPr>
        <w:t>Madam/Dear Sir,</w:t>
      </w:r>
    </w:p>
    <w:p w:rsidR="00DA1141" w:rsidRDefault="00DA1141" w:rsidP="00DA1141">
      <w:pPr>
        <w:pStyle w:val="head"/>
        <w:jc w:val="both"/>
        <w:rPr>
          <w:rFonts w:ascii="Arial" w:hAnsi="Arial" w:cs="Arial"/>
          <w:b/>
          <w:bCs/>
          <w:color w:val="000000"/>
          <w:sz w:val="20"/>
          <w:szCs w:val="20"/>
        </w:rPr>
      </w:pPr>
      <w:r>
        <w:rPr>
          <w:rFonts w:ascii="Arial" w:hAnsi="Arial" w:cs="Arial"/>
          <w:b/>
          <w:bCs/>
          <w:color w:val="000000"/>
          <w:sz w:val="20"/>
          <w:szCs w:val="20"/>
        </w:rPr>
        <w:t>Data Format for Furnishing of Credit Information to Credit Information Companies and other Regulatory Measures</w:t>
      </w:r>
    </w:p>
    <w:p w:rsidR="00DA1141" w:rsidRDefault="00DA1141" w:rsidP="00DA1141">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190" w:tgtFrame="_blank" w:history="1">
        <w:r>
          <w:rPr>
            <w:rStyle w:val="Hyperlink"/>
            <w:rFonts w:ascii="Arial" w:hAnsi="Arial" w:cs="Arial"/>
            <w:sz w:val="20"/>
            <w:szCs w:val="20"/>
          </w:rPr>
          <w:t>circular DBOD.No.CID.BC.127/20.16.056/2013-14 dated June 27, 2014</w:t>
        </w:r>
      </w:hyperlink>
      <w:r>
        <w:rPr>
          <w:rFonts w:ascii="Arial" w:hAnsi="Arial" w:cs="Arial"/>
          <w:color w:val="000000"/>
          <w:sz w:val="20"/>
          <w:szCs w:val="20"/>
        </w:rPr>
        <w:t>, inter alia setting out a Uniform Credit Reporting Format for reporting credit information to the Credit Information Companies (CICs).</w:t>
      </w:r>
    </w:p>
    <w:p w:rsidR="00DA1141" w:rsidRDefault="00DA1141" w:rsidP="00DA1141">
      <w:pPr>
        <w:pStyle w:val="NormalWeb"/>
        <w:jc w:val="both"/>
        <w:rPr>
          <w:rFonts w:ascii="Arial" w:hAnsi="Arial" w:cs="Arial"/>
          <w:color w:val="000000"/>
          <w:sz w:val="20"/>
          <w:szCs w:val="20"/>
        </w:rPr>
      </w:pPr>
      <w:r>
        <w:rPr>
          <w:rFonts w:ascii="Arial" w:hAnsi="Arial" w:cs="Arial"/>
          <w:color w:val="000000"/>
          <w:sz w:val="20"/>
          <w:szCs w:val="20"/>
        </w:rPr>
        <w:t>2. It is clarified that cases admitted with National Company Law Tribunal (NCLT)/National Company Law Appellate Tribunal (NCLAT) under the Insolvency and Bankruptcy Code, 2016 are also required to be reported under the suit-filed cases in reporting to the CICs.</w:t>
      </w:r>
    </w:p>
    <w:p w:rsidR="00DA1141" w:rsidRDefault="00DA1141" w:rsidP="00DA1141">
      <w:pPr>
        <w:pStyle w:val="NormalWeb"/>
        <w:jc w:val="both"/>
        <w:rPr>
          <w:rFonts w:ascii="Arial" w:hAnsi="Arial" w:cs="Arial"/>
          <w:color w:val="000000"/>
          <w:sz w:val="20"/>
          <w:szCs w:val="20"/>
        </w:rPr>
      </w:pPr>
      <w:r>
        <w:rPr>
          <w:rFonts w:ascii="Arial" w:hAnsi="Arial" w:cs="Arial"/>
          <w:color w:val="000000"/>
          <w:sz w:val="20"/>
          <w:szCs w:val="20"/>
        </w:rPr>
        <w:t>3. Credit Institutions (CIs) shall ensure implementation of this circular latest by February 28, 2023.</w:t>
      </w:r>
    </w:p>
    <w:p w:rsidR="00DA1141" w:rsidRDefault="00DA1141" w:rsidP="00DA1141">
      <w:pPr>
        <w:pStyle w:val="NormalWeb"/>
        <w:jc w:val="both"/>
        <w:rPr>
          <w:rFonts w:ascii="Arial" w:hAnsi="Arial" w:cs="Arial"/>
          <w:color w:val="000000"/>
          <w:sz w:val="20"/>
          <w:szCs w:val="20"/>
        </w:rPr>
      </w:pPr>
      <w:r>
        <w:rPr>
          <w:rFonts w:ascii="Arial" w:hAnsi="Arial" w:cs="Arial"/>
          <w:color w:val="000000"/>
          <w:sz w:val="20"/>
          <w:szCs w:val="20"/>
        </w:rPr>
        <w:t>Yours faithfully</w:t>
      </w:r>
    </w:p>
    <w:p w:rsidR="00DA1141" w:rsidRDefault="00DA1141" w:rsidP="00DA1141">
      <w:pPr>
        <w:pStyle w:val="NormalWeb"/>
        <w:rPr>
          <w:rFonts w:ascii="Arial" w:hAnsi="Arial" w:cs="Arial"/>
          <w:color w:val="000000"/>
          <w:sz w:val="20"/>
          <w:szCs w:val="20"/>
        </w:rPr>
      </w:pPr>
      <w:r>
        <w:rPr>
          <w:rFonts w:ascii="Arial" w:hAnsi="Arial" w:cs="Arial"/>
          <w:color w:val="000000"/>
          <w:sz w:val="20"/>
          <w:szCs w:val="20"/>
        </w:rPr>
        <w:t>(J.P. Sharma)</w:t>
      </w:r>
      <w:r>
        <w:rPr>
          <w:rFonts w:ascii="Arial" w:hAnsi="Arial" w:cs="Arial"/>
          <w:color w:val="000000"/>
          <w:sz w:val="20"/>
          <w:szCs w:val="20"/>
        </w:rPr>
        <w:br/>
        <w:t>Chief General Manager</w:t>
      </w: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r w:rsidRPr="00435B25">
        <w:rPr>
          <w:rFonts w:ascii="Arial" w:hAnsi="Arial" w:cs="Arial"/>
          <w:sz w:val="20"/>
          <w:szCs w:val="20"/>
        </w:rPr>
        <w:t>More details can be referred to in the below link.</w:t>
      </w:r>
    </w:p>
    <w:p w:rsidR="00DA1141" w:rsidRDefault="00DA1141" w:rsidP="00DA1141">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191" w:history="1">
        <w:r w:rsidRPr="006865D6">
          <w:rPr>
            <w:rStyle w:val="Hyperlink"/>
            <w:rFonts w:ascii="Arial" w:hAnsi="Arial" w:cs="Arial"/>
            <w:sz w:val="20"/>
            <w:szCs w:val="20"/>
          </w:rPr>
          <w:t>https://m.rbi.org.in/scripts/BS_CircularIndexDisplay.aspx?Id=12425</w:t>
        </w:r>
      </w:hyperlink>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Pr="00706A14"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b/>
          <w:bCs/>
          <w:color w:val="000000"/>
          <w:sz w:val="20"/>
          <w:szCs w:val="20"/>
        </w:rPr>
      </w:pPr>
      <w:r>
        <w:rPr>
          <w:rFonts w:ascii="Arial" w:hAnsi="Arial" w:cs="Arial"/>
          <w:b/>
          <w:bCs/>
          <w:color w:val="000000"/>
          <w:sz w:val="20"/>
          <w:szCs w:val="20"/>
        </w:rPr>
        <w:t>Reserve Bank of India (Financial Statements - Presentation and Disclosures) Directions, 2021 - Disclosure of material items</w:t>
      </w:r>
    </w:p>
    <w:p w:rsidR="00DA1141" w:rsidRDefault="00DA1141" w:rsidP="00DA1141">
      <w:pPr>
        <w:pStyle w:val="NormalWeb"/>
        <w:jc w:val="both"/>
        <w:rPr>
          <w:rFonts w:ascii="Arial" w:hAnsi="Arial" w:cs="Arial"/>
          <w:color w:val="000000"/>
          <w:sz w:val="20"/>
          <w:szCs w:val="20"/>
        </w:rPr>
      </w:pPr>
      <w:r>
        <w:rPr>
          <w:rFonts w:ascii="Arial" w:hAnsi="Arial" w:cs="Arial"/>
          <w:color w:val="000000"/>
          <w:sz w:val="20"/>
          <w:szCs w:val="20"/>
        </w:rPr>
        <w:t>RBI/2022-23/155</w:t>
      </w:r>
      <w:r>
        <w:rPr>
          <w:rFonts w:ascii="Arial" w:hAnsi="Arial" w:cs="Arial"/>
          <w:color w:val="000000"/>
          <w:sz w:val="20"/>
          <w:szCs w:val="20"/>
        </w:rPr>
        <w:br/>
        <w:t>DOR.ACC.REC.No.91/21.04.018/2022-23</w:t>
      </w:r>
    </w:p>
    <w:p w:rsidR="00DA1141" w:rsidRDefault="00DA1141" w:rsidP="00DA1141">
      <w:pPr>
        <w:pStyle w:val="NormalWeb"/>
        <w:jc w:val="right"/>
        <w:rPr>
          <w:rFonts w:ascii="Arial" w:hAnsi="Arial" w:cs="Arial"/>
          <w:color w:val="000000"/>
          <w:sz w:val="20"/>
          <w:szCs w:val="20"/>
        </w:rPr>
      </w:pPr>
      <w:r>
        <w:rPr>
          <w:rFonts w:ascii="Arial" w:hAnsi="Arial" w:cs="Arial"/>
          <w:color w:val="000000"/>
          <w:sz w:val="20"/>
          <w:szCs w:val="20"/>
        </w:rPr>
        <w:t>December 13, 2022</w:t>
      </w:r>
    </w:p>
    <w:p w:rsidR="00DA1141" w:rsidRDefault="00DA1141" w:rsidP="00DA1141">
      <w:pPr>
        <w:pStyle w:val="NormalWeb"/>
        <w:jc w:val="both"/>
        <w:rPr>
          <w:rFonts w:ascii="Arial" w:hAnsi="Arial" w:cs="Arial"/>
          <w:color w:val="000000"/>
          <w:sz w:val="20"/>
          <w:szCs w:val="20"/>
        </w:rPr>
      </w:pPr>
      <w:r>
        <w:rPr>
          <w:rFonts w:ascii="Arial" w:hAnsi="Arial" w:cs="Arial"/>
          <w:color w:val="000000"/>
          <w:sz w:val="20"/>
          <w:szCs w:val="20"/>
        </w:rPr>
        <w:t>Madam/Sir,</w:t>
      </w:r>
    </w:p>
    <w:p w:rsidR="00DA1141" w:rsidRDefault="00DA1141" w:rsidP="00DA1141">
      <w:pPr>
        <w:pStyle w:val="head"/>
        <w:jc w:val="both"/>
        <w:rPr>
          <w:rFonts w:ascii="Arial" w:hAnsi="Arial" w:cs="Arial"/>
          <w:b/>
          <w:bCs/>
          <w:color w:val="000000"/>
          <w:sz w:val="20"/>
          <w:szCs w:val="20"/>
        </w:rPr>
      </w:pPr>
      <w:r>
        <w:rPr>
          <w:rFonts w:ascii="Arial" w:hAnsi="Arial" w:cs="Arial"/>
          <w:b/>
          <w:bCs/>
          <w:color w:val="000000"/>
          <w:sz w:val="20"/>
          <w:szCs w:val="20"/>
        </w:rPr>
        <w:t>Reserve Bank of India (Financial Statements - Presentation and Disclosures) Directions, 2021 - Disclosure of material items</w:t>
      </w:r>
    </w:p>
    <w:p w:rsidR="00DA1141" w:rsidRDefault="00DA1141" w:rsidP="00DA1141">
      <w:pPr>
        <w:pStyle w:val="NormalWeb"/>
        <w:jc w:val="both"/>
        <w:rPr>
          <w:rFonts w:ascii="Arial" w:hAnsi="Arial" w:cs="Arial"/>
          <w:color w:val="000000"/>
          <w:sz w:val="20"/>
          <w:szCs w:val="20"/>
        </w:rPr>
      </w:pPr>
      <w:r>
        <w:rPr>
          <w:rFonts w:ascii="Arial" w:hAnsi="Arial" w:cs="Arial"/>
          <w:color w:val="000000"/>
          <w:sz w:val="20"/>
          <w:szCs w:val="20"/>
        </w:rPr>
        <w:t>Please refer to the notes and instructions for compilation of Balance Sheet and Profit and Loss Account, for commercial banks, as specified in Annexure II to the </w:t>
      </w:r>
      <w:hyperlink r:id="rId192" w:tgtFrame="_blank" w:history="1">
        <w:r>
          <w:rPr>
            <w:rStyle w:val="Hyperlink"/>
            <w:rFonts w:ascii="Arial" w:hAnsi="Arial" w:cs="Arial"/>
            <w:sz w:val="20"/>
            <w:szCs w:val="20"/>
          </w:rPr>
          <w:t>Reserve Bank of India (Financial Statements-Presentation and Disclosures) Directions, 2021</w:t>
        </w:r>
      </w:hyperlink>
      <w:r>
        <w:rPr>
          <w:rFonts w:ascii="Arial" w:hAnsi="Arial" w:cs="Arial"/>
          <w:color w:val="000000"/>
          <w:sz w:val="20"/>
          <w:szCs w:val="20"/>
        </w:rPr>
        <w:t> (hereinafter referred to as “Directions”).</w:t>
      </w:r>
    </w:p>
    <w:p w:rsidR="00DA1141" w:rsidRDefault="00DA1141" w:rsidP="00DA1141">
      <w:pPr>
        <w:pStyle w:val="NormalWeb"/>
        <w:jc w:val="both"/>
        <w:rPr>
          <w:rFonts w:ascii="Arial" w:hAnsi="Arial" w:cs="Arial"/>
          <w:color w:val="000000"/>
          <w:sz w:val="20"/>
          <w:szCs w:val="20"/>
        </w:rPr>
      </w:pPr>
      <w:r>
        <w:rPr>
          <w:rFonts w:ascii="Arial" w:hAnsi="Arial" w:cs="Arial"/>
          <w:color w:val="000000"/>
          <w:sz w:val="20"/>
          <w:szCs w:val="20"/>
        </w:rPr>
        <w:t>2. In terms of Part A of Annexure II to the Directions, in case any item under the subhead “Miscellaneous Income” under the head “Schedule 14-Other Income” exceeds one per cent of total income, particulars shall be given in the notes to accounts. Similar instructions exist in case of subhead “Other expenditure” under the head “Schedule 16-Operating Expenses”.</w:t>
      </w:r>
    </w:p>
    <w:p w:rsidR="00DA1141" w:rsidRDefault="00DA1141" w:rsidP="00DA1141">
      <w:pPr>
        <w:pStyle w:val="NormalWeb"/>
        <w:jc w:val="both"/>
        <w:rPr>
          <w:rFonts w:ascii="Arial" w:hAnsi="Arial" w:cs="Arial"/>
          <w:color w:val="000000"/>
          <w:sz w:val="20"/>
          <w:szCs w:val="20"/>
        </w:rPr>
      </w:pPr>
      <w:r>
        <w:rPr>
          <w:rFonts w:ascii="Arial" w:hAnsi="Arial" w:cs="Arial"/>
          <w:color w:val="000000"/>
          <w:sz w:val="20"/>
          <w:szCs w:val="20"/>
        </w:rPr>
        <w:t>3. In order to ensure greater transparency, it has been decided that banks shall also disclose the particulars of all such items in the notes to accounts wherever any item under the Schedule 5(IV)-Other Liabilities and Provisions</w:t>
      </w:r>
      <w:proofErr w:type="gramStart"/>
      <w:r>
        <w:rPr>
          <w:rFonts w:ascii="Arial" w:hAnsi="Arial" w:cs="Arial"/>
          <w:color w:val="000000"/>
          <w:sz w:val="20"/>
          <w:szCs w:val="20"/>
        </w:rPr>
        <w:t>-“</w:t>
      </w:r>
      <w:proofErr w:type="gramEnd"/>
      <w:r>
        <w:rPr>
          <w:rFonts w:ascii="Arial" w:hAnsi="Arial" w:cs="Arial"/>
          <w:color w:val="000000"/>
          <w:sz w:val="20"/>
          <w:szCs w:val="20"/>
        </w:rPr>
        <w:t>Others (including provisions)” or Schedule 11(VI)-Other Assets-“Others” exceeds one per cent of the total assets.</w:t>
      </w:r>
    </w:p>
    <w:p w:rsidR="00DA1141" w:rsidRDefault="00DA1141" w:rsidP="00DA1141">
      <w:pPr>
        <w:pStyle w:val="NormalWeb"/>
        <w:jc w:val="both"/>
        <w:rPr>
          <w:rFonts w:ascii="Arial" w:hAnsi="Arial" w:cs="Arial"/>
          <w:color w:val="000000"/>
          <w:sz w:val="20"/>
          <w:szCs w:val="20"/>
        </w:rPr>
      </w:pPr>
      <w:r>
        <w:rPr>
          <w:rFonts w:ascii="Arial" w:hAnsi="Arial" w:cs="Arial"/>
          <w:color w:val="000000"/>
          <w:sz w:val="20"/>
          <w:szCs w:val="20"/>
        </w:rPr>
        <w:t>4. Further, Payments Banks shall also disclose particulars of all such items in the notes to accounts, wherever any item under the Schedule 14(I)-Other Income</w:t>
      </w:r>
      <w:proofErr w:type="gramStart"/>
      <w:r>
        <w:rPr>
          <w:rFonts w:ascii="Arial" w:hAnsi="Arial" w:cs="Arial"/>
          <w:color w:val="000000"/>
          <w:sz w:val="20"/>
          <w:szCs w:val="20"/>
        </w:rPr>
        <w:t>-“</w:t>
      </w:r>
      <w:proofErr w:type="gramEnd"/>
      <w:r>
        <w:rPr>
          <w:rFonts w:ascii="Arial" w:hAnsi="Arial" w:cs="Arial"/>
          <w:color w:val="000000"/>
          <w:sz w:val="20"/>
          <w:szCs w:val="20"/>
        </w:rPr>
        <w:t>Commission, Exchange and Brokerage” exceeds one per cent of the total income.</w:t>
      </w:r>
    </w:p>
    <w:p w:rsidR="00DA1141" w:rsidRDefault="00DA1141" w:rsidP="00DA1141">
      <w:pPr>
        <w:pStyle w:val="NormalWeb"/>
        <w:jc w:val="both"/>
        <w:rPr>
          <w:rFonts w:ascii="Arial" w:hAnsi="Arial" w:cs="Arial"/>
          <w:color w:val="000000"/>
          <w:sz w:val="20"/>
          <w:szCs w:val="20"/>
        </w:rPr>
      </w:pPr>
      <w:r>
        <w:rPr>
          <w:rFonts w:ascii="Arial" w:hAnsi="Arial" w:cs="Arial"/>
          <w:color w:val="000000"/>
          <w:sz w:val="20"/>
          <w:szCs w:val="20"/>
        </w:rPr>
        <w:t>5. We also invite attention to Clause 6 of the Chapter IV of the Directions ibid, in terms of which more comprehensive disclosures than the minimum required are encouraged, especially if such disclosures significantly aid in the understanding of the financial position and performance of banks.</w:t>
      </w:r>
    </w:p>
    <w:p w:rsidR="00DA1141" w:rsidRDefault="00DA1141" w:rsidP="00DA1141">
      <w:pPr>
        <w:pStyle w:val="head"/>
        <w:jc w:val="both"/>
        <w:rPr>
          <w:rFonts w:ascii="Arial" w:hAnsi="Arial" w:cs="Arial"/>
          <w:b/>
          <w:bCs/>
          <w:color w:val="000000"/>
          <w:sz w:val="20"/>
          <w:szCs w:val="20"/>
        </w:rPr>
      </w:pPr>
      <w:r>
        <w:rPr>
          <w:rFonts w:ascii="Arial" w:hAnsi="Arial" w:cs="Arial"/>
          <w:b/>
          <w:bCs/>
          <w:color w:val="000000"/>
          <w:sz w:val="20"/>
          <w:szCs w:val="20"/>
        </w:rPr>
        <w:t>Applicability</w:t>
      </w:r>
    </w:p>
    <w:p w:rsidR="00DA1141" w:rsidRDefault="00DA1141" w:rsidP="00DA1141">
      <w:pPr>
        <w:pStyle w:val="NormalWeb"/>
        <w:jc w:val="both"/>
        <w:rPr>
          <w:rFonts w:ascii="Arial" w:hAnsi="Arial" w:cs="Arial"/>
          <w:color w:val="000000"/>
          <w:sz w:val="20"/>
          <w:szCs w:val="20"/>
        </w:rPr>
      </w:pPr>
      <w:r>
        <w:rPr>
          <w:rFonts w:ascii="Arial" w:hAnsi="Arial" w:cs="Arial"/>
          <w:color w:val="000000"/>
          <w:sz w:val="20"/>
          <w:szCs w:val="20"/>
        </w:rPr>
        <w:t>6. These instructions are applicable to all commercial banks. These instructions shall come into effect for disclosures in the notes to the annual financial statements for the year ending March 31, 2023 and onwards.</w:t>
      </w:r>
    </w:p>
    <w:p w:rsidR="00DA1141" w:rsidRDefault="00DA1141" w:rsidP="00DA1141">
      <w:pPr>
        <w:pStyle w:val="NormalWeb"/>
        <w:jc w:val="both"/>
        <w:rPr>
          <w:rFonts w:ascii="Arial" w:hAnsi="Arial" w:cs="Arial"/>
          <w:color w:val="000000"/>
          <w:sz w:val="20"/>
          <w:szCs w:val="20"/>
        </w:rPr>
      </w:pPr>
      <w:r>
        <w:rPr>
          <w:rFonts w:ascii="Arial" w:hAnsi="Arial" w:cs="Arial"/>
          <w:color w:val="000000"/>
          <w:sz w:val="20"/>
          <w:szCs w:val="20"/>
        </w:rPr>
        <w:t>7. The </w:t>
      </w:r>
      <w:hyperlink r:id="rId193" w:tgtFrame="_blank" w:history="1">
        <w:r>
          <w:rPr>
            <w:rStyle w:val="Hyperlink"/>
            <w:rFonts w:ascii="Arial" w:hAnsi="Arial" w:cs="Arial"/>
            <w:sz w:val="20"/>
            <w:szCs w:val="20"/>
          </w:rPr>
          <w:t>Reserve Bank of India (Financial Statements - Presentation and Disclosures) Directions, 2021</w:t>
        </w:r>
      </w:hyperlink>
      <w:r>
        <w:rPr>
          <w:rFonts w:ascii="Arial" w:hAnsi="Arial" w:cs="Arial"/>
          <w:color w:val="000000"/>
          <w:sz w:val="20"/>
          <w:szCs w:val="20"/>
        </w:rPr>
        <w:t> shall stand updated to reflect these changes.</w:t>
      </w:r>
    </w:p>
    <w:p w:rsidR="00DA1141" w:rsidRDefault="00DA1141" w:rsidP="00DA1141">
      <w:pPr>
        <w:pStyle w:val="NormalWeb"/>
        <w:jc w:val="both"/>
        <w:rPr>
          <w:rFonts w:ascii="Arial" w:hAnsi="Arial" w:cs="Arial"/>
          <w:color w:val="000000"/>
          <w:sz w:val="20"/>
          <w:szCs w:val="20"/>
        </w:rPr>
      </w:pPr>
      <w:r>
        <w:rPr>
          <w:rFonts w:ascii="Arial" w:hAnsi="Arial" w:cs="Arial"/>
          <w:color w:val="000000"/>
          <w:sz w:val="20"/>
          <w:szCs w:val="20"/>
        </w:rPr>
        <w:t>Yours faithfully,</w:t>
      </w:r>
    </w:p>
    <w:p w:rsidR="00DA1141" w:rsidRDefault="00DA1141" w:rsidP="00DA1141">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DA1141" w:rsidRPr="00230EAC" w:rsidRDefault="00DA1141" w:rsidP="00DA1141">
      <w:pPr>
        <w:spacing w:after="0"/>
      </w:pPr>
    </w:p>
    <w:p w:rsidR="00DA1141" w:rsidRDefault="00DA1141" w:rsidP="00DA1141">
      <w:r>
        <w:lastRenderedPageBreak/>
        <w:t>More details can be referred to in the below link.</w:t>
      </w:r>
    </w:p>
    <w:p w:rsidR="00DA1141" w:rsidRDefault="00DA1141" w:rsidP="00DA1141">
      <w:pPr>
        <w:rPr>
          <w:rFonts w:ascii="Arial" w:hAnsi="Arial" w:cs="Arial"/>
          <w:bCs/>
          <w:color w:val="000000"/>
          <w:sz w:val="20"/>
          <w:szCs w:val="20"/>
        </w:rPr>
      </w:pPr>
      <w:r>
        <w:rPr>
          <w:rFonts w:ascii="Arial" w:hAnsi="Arial" w:cs="Arial"/>
          <w:bCs/>
          <w:color w:val="000000"/>
          <w:sz w:val="20"/>
          <w:szCs w:val="20"/>
        </w:rPr>
        <w:t xml:space="preserve">Reference Link: </w:t>
      </w:r>
      <w:hyperlink r:id="rId194" w:history="1">
        <w:r w:rsidRPr="00B27270">
          <w:rPr>
            <w:rStyle w:val="Hyperlink"/>
            <w:rFonts w:ascii="Arial" w:hAnsi="Arial" w:cs="Arial"/>
            <w:bCs/>
            <w:sz w:val="20"/>
            <w:szCs w:val="20"/>
          </w:rPr>
          <w:t>https://rbi.org.in/Scripts/NotificationUser.aspx?Id=12426&amp;Mode=0</w:t>
        </w:r>
      </w:hyperlink>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rPr>
          <w:rFonts w:ascii="Arial" w:hAnsi="Arial" w:cs="Arial"/>
          <w:b/>
          <w:bCs/>
          <w:color w:val="000000"/>
          <w:sz w:val="20"/>
          <w:szCs w:val="20"/>
        </w:rPr>
      </w:pPr>
      <w:r>
        <w:rPr>
          <w:rFonts w:ascii="Arial" w:hAnsi="Arial" w:cs="Arial"/>
          <w:b/>
          <w:bCs/>
          <w:color w:val="000000"/>
          <w:sz w:val="20"/>
          <w:szCs w:val="20"/>
        </w:rPr>
        <w:t>Central Payments Fraud Information Registry – Migration of Reporting to DAKSH</w:t>
      </w:r>
    </w:p>
    <w:p w:rsidR="00DA1141" w:rsidRDefault="00DA1141" w:rsidP="00DA1141">
      <w:pPr>
        <w:pStyle w:val="NormalWeb"/>
        <w:jc w:val="both"/>
        <w:rPr>
          <w:rFonts w:ascii="Arial" w:hAnsi="Arial" w:cs="Arial"/>
          <w:color w:val="000000"/>
          <w:sz w:val="20"/>
          <w:szCs w:val="20"/>
        </w:rPr>
      </w:pPr>
      <w:r>
        <w:rPr>
          <w:rFonts w:ascii="Arial" w:hAnsi="Arial" w:cs="Arial"/>
          <w:color w:val="000000"/>
          <w:sz w:val="20"/>
          <w:szCs w:val="20"/>
        </w:rPr>
        <w:t>RBI/2022-23/158</w:t>
      </w:r>
      <w:r>
        <w:rPr>
          <w:rFonts w:ascii="Arial" w:hAnsi="Arial" w:cs="Arial"/>
          <w:color w:val="000000"/>
          <w:sz w:val="20"/>
          <w:szCs w:val="20"/>
        </w:rPr>
        <w:br/>
        <w:t>CO.DPSS.OVRST.No.S1619/06-08-005/2022-2023</w:t>
      </w:r>
    </w:p>
    <w:p w:rsidR="00DA1141" w:rsidRDefault="00DA1141" w:rsidP="00DA1141">
      <w:pPr>
        <w:pStyle w:val="NormalWeb"/>
        <w:jc w:val="right"/>
        <w:rPr>
          <w:rFonts w:ascii="Arial" w:hAnsi="Arial" w:cs="Arial"/>
          <w:color w:val="000000"/>
          <w:sz w:val="20"/>
          <w:szCs w:val="20"/>
        </w:rPr>
      </w:pPr>
      <w:r>
        <w:rPr>
          <w:rFonts w:ascii="Arial" w:hAnsi="Arial" w:cs="Arial"/>
          <w:color w:val="000000"/>
          <w:sz w:val="20"/>
          <w:szCs w:val="20"/>
        </w:rPr>
        <w:t>December 26, 2022</w:t>
      </w:r>
    </w:p>
    <w:p w:rsidR="00DA1141" w:rsidRDefault="00DA1141" w:rsidP="00DA1141">
      <w:pPr>
        <w:pStyle w:val="NormalWeb"/>
        <w:rPr>
          <w:rFonts w:ascii="Arial" w:hAnsi="Arial" w:cs="Arial"/>
          <w:color w:val="000000"/>
          <w:sz w:val="20"/>
          <w:szCs w:val="20"/>
        </w:rPr>
      </w:pPr>
      <w:r>
        <w:rPr>
          <w:rFonts w:ascii="Arial" w:hAnsi="Arial" w:cs="Arial"/>
          <w:color w:val="000000"/>
          <w:sz w:val="20"/>
          <w:szCs w:val="20"/>
        </w:rPr>
        <w:t>The Chairman / Managing Director / Chief Executive Officer</w:t>
      </w:r>
      <w:r>
        <w:rPr>
          <w:rFonts w:ascii="Arial" w:hAnsi="Arial" w:cs="Arial"/>
          <w:color w:val="000000"/>
          <w:sz w:val="20"/>
          <w:szCs w:val="20"/>
        </w:rPr>
        <w:br/>
        <w:t>Banks, Non-bank Payment System Operators (PSOs) and</w:t>
      </w:r>
      <w:r>
        <w:rPr>
          <w:rFonts w:ascii="Arial" w:hAnsi="Arial" w:cs="Arial"/>
          <w:color w:val="000000"/>
          <w:sz w:val="20"/>
          <w:szCs w:val="20"/>
        </w:rPr>
        <w:br/>
        <w:t>Credit Card issuing Non-Banking Financial Companies (NBFCs)</w:t>
      </w:r>
    </w:p>
    <w:p w:rsidR="00DA1141" w:rsidRDefault="00DA1141" w:rsidP="00DA1141">
      <w:pPr>
        <w:pStyle w:val="NormalWeb"/>
        <w:jc w:val="both"/>
        <w:rPr>
          <w:rFonts w:ascii="Arial" w:hAnsi="Arial" w:cs="Arial"/>
          <w:color w:val="000000"/>
          <w:sz w:val="20"/>
          <w:szCs w:val="20"/>
        </w:rPr>
      </w:pPr>
      <w:r>
        <w:rPr>
          <w:rFonts w:ascii="Arial" w:hAnsi="Arial" w:cs="Arial"/>
          <w:color w:val="000000"/>
          <w:sz w:val="20"/>
          <w:szCs w:val="20"/>
        </w:rPr>
        <w:t>Madam / Dear Sir,</w:t>
      </w:r>
    </w:p>
    <w:p w:rsidR="00DA1141" w:rsidRDefault="00DA1141" w:rsidP="00DA1141">
      <w:pPr>
        <w:pStyle w:val="head"/>
        <w:jc w:val="both"/>
        <w:rPr>
          <w:rFonts w:ascii="Arial" w:hAnsi="Arial" w:cs="Arial"/>
          <w:b/>
          <w:bCs/>
          <w:color w:val="000000"/>
          <w:sz w:val="20"/>
          <w:szCs w:val="20"/>
        </w:rPr>
      </w:pPr>
      <w:r>
        <w:rPr>
          <w:rFonts w:ascii="Arial" w:hAnsi="Arial" w:cs="Arial"/>
          <w:b/>
          <w:bCs/>
          <w:color w:val="000000"/>
          <w:sz w:val="20"/>
          <w:szCs w:val="20"/>
        </w:rPr>
        <w:t>Central Payments Fraud Information Registry – Migration of Reporting to DAKSH</w:t>
      </w:r>
    </w:p>
    <w:p w:rsidR="00DA1141" w:rsidRDefault="00DA1141" w:rsidP="00DA1141">
      <w:pPr>
        <w:pStyle w:val="NormalWeb"/>
        <w:jc w:val="both"/>
        <w:rPr>
          <w:rFonts w:ascii="Arial" w:hAnsi="Arial" w:cs="Arial"/>
          <w:color w:val="000000"/>
          <w:sz w:val="20"/>
          <w:szCs w:val="20"/>
        </w:rPr>
      </w:pPr>
      <w:r>
        <w:rPr>
          <w:rFonts w:ascii="Arial" w:hAnsi="Arial" w:cs="Arial"/>
          <w:color w:val="000000"/>
          <w:sz w:val="20"/>
          <w:szCs w:val="20"/>
        </w:rPr>
        <w:t>As announced in the </w:t>
      </w:r>
      <w:hyperlink r:id="rId195" w:tgtFrame="_blank" w:history="1">
        <w:r>
          <w:rPr>
            <w:rStyle w:val="Hyperlink"/>
            <w:rFonts w:ascii="Arial" w:hAnsi="Arial" w:cs="Arial"/>
            <w:sz w:val="20"/>
            <w:szCs w:val="20"/>
          </w:rPr>
          <w:t>Monetary Policy Statement 2019-20 on August 07, 2019</w:t>
        </w:r>
      </w:hyperlink>
      <w:r>
        <w:rPr>
          <w:rFonts w:ascii="Arial" w:hAnsi="Arial" w:cs="Arial"/>
          <w:color w:val="000000"/>
          <w:sz w:val="20"/>
          <w:szCs w:val="20"/>
        </w:rPr>
        <w:t>, the Reserve Bank of India (RBI) had operationalised the Central Payments Fraud Information Registry (CPFIR) in March 2020 with reporting of payment frauds by scheduled commercial banks and non-bank Prepaid Payment Instrument (PPI) issuers.</w:t>
      </w:r>
    </w:p>
    <w:p w:rsidR="00DA1141" w:rsidRDefault="00DA1141" w:rsidP="00DA1141">
      <w:pPr>
        <w:pStyle w:val="NormalWeb"/>
        <w:jc w:val="both"/>
        <w:rPr>
          <w:rFonts w:ascii="Arial" w:hAnsi="Arial" w:cs="Arial"/>
          <w:color w:val="000000"/>
          <w:sz w:val="20"/>
          <w:szCs w:val="20"/>
        </w:rPr>
      </w:pPr>
      <w:r>
        <w:rPr>
          <w:rFonts w:ascii="Arial" w:hAnsi="Arial" w:cs="Arial"/>
          <w:color w:val="000000"/>
          <w:sz w:val="20"/>
          <w:szCs w:val="20"/>
        </w:rPr>
        <w:t>2. To streamline reporting, enhance efficiency and automate the payments fraud management process, the fraud reporting module is being migrated to </w:t>
      </w:r>
      <w:hyperlink r:id="rId196" w:anchor="/login" w:tgtFrame="_blank" w:history="1">
        <w:r>
          <w:rPr>
            <w:rStyle w:val="Hyperlink"/>
            <w:rFonts w:ascii="Arial" w:hAnsi="Arial" w:cs="Arial"/>
            <w:sz w:val="20"/>
            <w:szCs w:val="20"/>
          </w:rPr>
          <w:t>DAKSH – Reserve Bank’s Advanced Supervisory Monitoring System</w:t>
        </w:r>
      </w:hyperlink>
      <w:r>
        <w:rPr>
          <w:rFonts w:ascii="Arial" w:hAnsi="Arial" w:cs="Arial"/>
          <w:color w:val="000000"/>
          <w:sz w:val="20"/>
          <w:szCs w:val="20"/>
        </w:rPr>
        <w:t>. The migration will be effective from </w:t>
      </w:r>
      <w:r>
        <w:rPr>
          <w:rStyle w:val="head1"/>
          <w:rFonts w:ascii="Arial" w:hAnsi="Arial" w:cs="Arial"/>
          <w:b/>
          <w:bCs/>
          <w:color w:val="000000"/>
          <w:sz w:val="20"/>
          <w:szCs w:val="20"/>
        </w:rPr>
        <w:t>January 01, 2023</w:t>
      </w:r>
      <w:r>
        <w:rPr>
          <w:rFonts w:ascii="Arial" w:hAnsi="Arial" w:cs="Arial"/>
          <w:color w:val="000000"/>
          <w:sz w:val="20"/>
          <w:szCs w:val="20"/>
        </w:rPr>
        <w:t>, i.e., entities shall commence reporting of payment frauds in DAKSH from this date. In addition to the existing bulk upload facility to report payment frauds, DAKSH provides additional functionalities, viz. maker-checker facility, online screen-based reporting, option for requesting additional information, facility to issue alerts / advisories, generation of dashboards and reports, etc. The reporting guidelines are mentioned in the </w:t>
      </w:r>
      <w:hyperlink r:id="rId197" w:anchor="AN1" w:history="1">
        <w:r>
          <w:rPr>
            <w:rStyle w:val="Hyperlink"/>
            <w:rFonts w:ascii="Arial" w:hAnsi="Arial" w:cs="Arial"/>
            <w:sz w:val="20"/>
            <w:szCs w:val="20"/>
          </w:rPr>
          <w:t>Annex</w:t>
        </w:r>
      </w:hyperlink>
      <w:r>
        <w:rPr>
          <w:rFonts w:ascii="Arial" w:hAnsi="Arial" w:cs="Arial"/>
          <w:color w:val="000000"/>
          <w:sz w:val="20"/>
          <w:szCs w:val="20"/>
        </w:rPr>
        <w:t>.</w:t>
      </w:r>
    </w:p>
    <w:p w:rsidR="00DA1141" w:rsidRDefault="00DA1141" w:rsidP="00DA1141">
      <w:pPr>
        <w:pStyle w:val="NormalWeb"/>
        <w:jc w:val="both"/>
        <w:rPr>
          <w:rFonts w:ascii="Arial" w:hAnsi="Arial" w:cs="Arial"/>
          <w:color w:val="000000"/>
          <w:sz w:val="20"/>
          <w:szCs w:val="20"/>
        </w:rPr>
      </w:pPr>
      <w:r>
        <w:rPr>
          <w:rFonts w:ascii="Arial" w:hAnsi="Arial" w:cs="Arial"/>
          <w:color w:val="000000"/>
          <w:sz w:val="20"/>
          <w:szCs w:val="20"/>
        </w:rPr>
        <w:t>3. These directions are issued under Section 10 (2) read with Section 18 of Payment and settlement Systems Act, 2007 (Act 51 of 2007).</w:t>
      </w:r>
    </w:p>
    <w:p w:rsidR="00DA1141" w:rsidRDefault="00DA1141" w:rsidP="00DA1141">
      <w:pPr>
        <w:pStyle w:val="NormalWeb"/>
        <w:jc w:val="both"/>
        <w:rPr>
          <w:rFonts w:ascii="Arial" w:hAnsi="Arial" w:cs="Arial"/>
          <w:color w:val="000000"/>
          <w:sz w:val="20"/>
          <w:szCs w:val="20"/>
        </w:rPr>
      </w:pPr>
      <w:r>
        <w:rPr>
          <w:rFonts w:ascii="Arial" w:hAnsi="Arial" w:cs="Arial"/>
          <w:color w:val="000000"/>
          <w:sz w:val="20"/>
          <w:szCs w:val="20"/>
        </w:rPr>
        <w:t>Yours faithfully,</w:t>
      </w:r>
    </w:p>
    <w:p w:rsidR="00DA1141" w:rsidRDefault="00DA1141" w:rsidP="00DA1141">
      <w:pPr>
        <w:pStyle w:val="NormalWeb"/>
        <w:rPr>
          <w:rFonts w:ascii="Arial" w:hAnsi="Arial" w:cs="Arial"/>
          <w:color w:val="000000"/>
          <w:sz w:val="20"/>
          <w:szCs w:val="20"/>
        </w:rPr>
      </w:pPr>
      <w:r>
        <w:rPr>
          <w:rFonts w:ascii="Arial" w:hAnsi="Arial" w:cs="Arial"/>
          <w:color w:val="000000"/>
          <w:sz w:val="20"/>
          <w:szCs w:val="20"/>
        </w:rPr>
        <w:t xml:space="preserve">(P. </w:t>
      </w:r>
      <w:proofErr w:type="spellStart"/>
      <w:r>
        <w:rPr>
          <w:rFonts w:ascii="Arial" w:hAnsi="Arial" w:cs="Arial"/>
          <w:color w:val="000000"/>
          <w:sz w:val="20"/>
          <w:szCs w:val="20"/>
        </w:rPr>
        <w:t>Vasudevan</w:t>
      </w:r>
      <w:proofErr w:type="spellEnd"/>
      <w:r>
        <w:rPr>
          <w:rFonts w:ascii="Arial" w:hAnsi="Arial" w:cs="Arial"/>
          <w:color w:val="000000"/>
          <w:sz w:val="20"/>
          <w:szCs w:val="20"/>
        </w:rPr>
        <w:t>)</w:t>
      </w:r>
      <w:r>
        <w:rPr>
          <w:rFonts w:ascii="Arial" w:hAnsi="Arial" w:cs="Arial"/>
          <w:color w:val="000000"/>
          <w:sz w:val="20"/>
          <w:szCs w:val="20"/>
        </w:rPr>
        <w:br/>
        <w:t>Chief General Manager</w:t>
      </w:r>
    </w:p>
    <w:p w:rsidR="00DA1141" w:rsidRDefault="00DA1141" w:rsidP="00DA1141">
      <w:pPr>
        <w:rPr>
          <w:rFonts w:ascii="Arial" w:hAnsi="Arial" w:cs="Arial"/>
          <w:sz w:val="20"/>
          <w:szCs w:val="20"/>
        </w:rPr>
      </w:pPr>
    </w:p>
    <w:p w:rsidR="00DA1141" w:rsidRDefault="00DA1141" w:rsidP="00DA1141">
      <w:pPr>
        <w:rPr>
          <w:rFonts w:ascii="Arial" w:hAnsi="Arial" w:cs="Arial"/>
          <w:sz w:val="20"/>
          <w:szCs w:val="20"/>
        </w:rPr>
      </w:pPr>
    </w:p>
    <w:p w:rsidR="00DA1141" w:rsidRDefault="00DA1141" w:rsidP="00DA1141">
      <w:r>
        <w:t>More details can be referred to in the below link.</w:t>
      </w:r>
    </w:p>
    <w:p w:rsidR="00DA1141" w:rsidRDefault="00DA1141" w:rsidP="00DA1141">
      <w:pPr>
        <w:rPr>
          <w:rFonts w:ascii="Arial" w:hAnsi="Arial" w:cs="Arial"/>
          <w:bCs/>
          <w:color w:val="000000"/>
          <w:sz w:val="20"/>
          <w:szCs w:val="20"/>
        </w:rPr>
      </w:pPr>
      <w:r>
        <w:rPr>
          <w:rFonts w:ascii="Arial" w:hAnsi="Arial" w:cs="Arial"/>
          <w:bCs/>
          <w:color w:val="000000"/>
          <w:sz w:val="20"/>
          <w:szCs w:val="20"/>
        </w:rPr>
        <w:t xml:space="preserve">Reference Link: </w:t>
      </w:r>
      <w:hyperlink r:id="rId198" w:history="1">
        <w:r w:rsidRPr="00B27270">
          <w:rPr>
            <w:rStyle w:val="Hyperlink"/>
            <w:rFonts w:ascii="Arial" w:hAnsi="Arial" w:cs="Arial"/>
            <w:bCs/>
            <w:sz w:val="20"/>
            <w:szCs w:val="20"/>
          </w:rPr>
          <w:t>https://m.rbi.org.in/scripts/FS_Notification.aspx?Id=12431&amp;fn=9&amp;Mode=0</w:t>
        </w:r>
      </w:hyperlink>
    </w:p>
    <w:p w:rsidR="00DA1141" w:rsidRDefault="00DA1141" w:rsidP="00DA1141">
      <w:pPr>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DA1141">
      <w:pPr>
        <w:spacing w:after="0"/>
        <w:rPr>
          <w:rFonts w:ascii="Arial" w:hAnsi="Arial" w:cs="Arial"/>
          <w:sz w:val="20"/>
          <w:szCs w:val="20"/>
        </w:rPr>
      </w:pPr>
    </w:p>
    <w:p w:rsidR="00DA1141" w:rsidRDefault="00DA1141" w:rsidP="00C96881">
      <w:pPr>
        <w:rPr>
          <w:rFonts w:ascii="Arial" w:hAnsi="Arial" w:cs="Arial"/>
          <w:sz w:val="20"/>
          <w:szCs w:val="20"/>
        </w:rPr>
      </w:pPr>
    </w:p>
    <w:p w:rsidR="00DA1141" w:rsidRDefault="00DA1141" w:rsidP="00DA1141">
      <w:pPr>
        <w:rPr>
          <w:rFonts w:ascii="Arial" w:hAnsi="Arial" w:cs="Arial"/>
          <w:b/>
          <w:bCs/>
          <w:color w:val="000000"/>
          <w:sz w:val="20"/>
          <w:szCs w:val="20"/>
        </w:rPr>
      </w:pPr>
      <w:r>
        <w:rPr>
          <w:rFonts w:ascii="Arial" w:hAnsi="Arial" w:cs="Arial"/>
          <w:b/>
          <w:bCs/>
          <w:color w:val="000000"/>
          <w:sz w:val="20"/>
          <w:szCs w:val="20"/>
        </w:rPr>
        <w:t>Individual Housing loans – Revised limits under four-tiered regulatory framework</w:t>
      </w:r>
    </w:p>
    <w:p w:rsidR="00DA1141" w:rsidRDefault="00DA1141" w:rsidP="00DA1141">
      <w:pPr>
        <w:pStyle w:val="NormalWeb"/>
        <w:jc w:val="both"/>
        <w:rPr>
          <w:rFonts w:ascii="Arial" w:hAnsi="Arial" w:cs="Arial"/>
          <w:color w:val="000000"/>
          <w:sz w:val="20"/>
          <w:szCs w:val="20"/>
        </w:rPr>
      </w:pPr>
      <w:r>
        <w:rPr>
          <w:rFonts w:ascii="Arial" w:hAnsi="Arial" w:cs="Arial"/>
          <w:color w:val="000000"/>
          <w:sz w:val="20"/>
          <w:szCs w:val="20"/>
        </w:rPr>
        <w:t>RBI/2022-23/159</w:t>
      </w:r>
      <w:r>
        <w:rPr>
          <w:rFonts w:ascii="Arial" w:hAnsi="Arial" w:cs="Arial"/>
          <w:color w:val="000000"/>
          <w:sz w:val="20"/>
          <w:szCs w:val="20"/>
        </w:rPr>
        <w:br/>
        <w:t>DOR.CRE.REC.92/07.10.002/2022-23</w:t>
      </w:r>
    </w:p>
    <w:p w:rsidR="00DA1141" w:rsidRDefault="00DA1141" w:rsidP="00DA1141">
      <w:pPr>
        <w:pStyle w:val="NormalWeb"/>
        <w:jc w:val="right"/>
        <w:rPr>
          <w:rFonts w:ascii="Arial" w:hAnsi="Arial" w:cs="Arial"/>
          <w:color w:val="000000"/>
          <w:sz w:val="20"/>
          <w:szCs w:val="20"/>
        </w:rPr>
      </w:pPr>
      <w:r>
        <w:rPr>
          <w:rFonts w:ascii="Arial" w:hAnsi="Arial" w:cs="Arial"/>
          <w:color w:val="000000"/>
          <w:sz w:val="20"/>
          <w:szCs w:val="20"/>
        </w:rPr>
        <w:t>December 30, 2022</w:t>
      </w:r>
    </w:p>
    <w:p w:rsidR="00DA1141" w:rsidRDefault="00DA1141" w:rsidP="00DA1141">
      <w:pPr>
        <w:pStyle w:val="NormalWeb"/>
        <w:jc w:val="both"/>
        <w:rPr>
          <w:rFonts w:ascii="Arial" w:hAnsi="Arial" w:cs="Arial"/>
          <w:color w:val="000000"/>
          <w:sz w:val="20"/>
          <w:szCs w:val="20"/>
        </w:rPr>
      </w:pPr>
      <w:r>
        <w:rPr>
          <w:rFonts w:ascii="Arial" w:hAnsi="Arial" w:cs="Arial"/>
          <w:color w:val="000000"/>
          <w:sz w:val="20"/>
          <w:szCs w:val="20"/>
        </w:rPr>
        <w:t>All Primary (Urban) Co-operative Banks,</w:t>
      </w:r>
    </w:p>
    <w:p w:rsidR="00DA1141" w:rsidRDefault="00DA1141" w:rsidP="00DA1141">
      <w:pPr>
        <w:pStyle w:val="NormalWeb"/>
        <w:jc w:val="both"/>
        <w:rPr>
          <w:rFonts w:ascii="Arial" w:hAnsi="Arial" w:cs="Arial"/>
          <w:color w:val="000000"/>
          <w:sz w:val="20"/>
          <w:szCs w:val="20"/>
        </w:rPr>
      </w:pPr>
      <w:r>
        <w:rPr>
          <w:rFonts w:ascii="Arial" w:hAnsi="Arial" w:cs="Arial"/>
          <w:color w:val="000000"/>
          <w:sz w:val="20"/>
          <w:szCs w:val="20"/>
        </w:rPr>
        <w:t>Madam / Dear Sir,</w:t>
      </w:r>
    </w:p>
    <w:p w:rsidR="00DA1141" w:rsidRDefault="00DA1141" w:rsidP="00DA1141">
      <w:pPr>
        <w:pStyle w:val="head"/>
        <w:jc w:val="both"/>
        <w:rPr>
          <w:rFonts w:ascii="Arial" w:hAnsi="Arial" w:cs="Arial"/>
          <w:b/>
          <w:bCs/>
          <w:color w:val="000000"/>
          <w:sz w:val="20"/>
          <w:szCs w:val="20"/>
        </w:rPr>
      </w:pPr>
      <w:r>
        <w:rPr>
          <w:rFonts w:ascii="Arial" w:hAnsi="Arial" w:cs="Arial"/>
          <w:b/>
          <w:bCs/>
          <w:color w:val="000000"/>
          <w:sz w:val="20"/>
          <w:szCs w:val="20"/>
        </w:rPr>
        <w:t>Individual Housing loans – Revised limits under four-tiered regulatory framework</w:t>
      </w:r>
    </w:p>
    <w:p w:rsidR="00DA1141" w:rsidRDefault="00DA1141" w:rsidP="00DA1141">
      <w:pPr>
        <w:pStyle w:val="NormalWeb"/>
        <w:jc w:val="both"/>
        <w:rPr>
          <w:rFonts w:ascii="Arial" w:hAnsi="Arial" w:cs="Arial"/>
          <w:color w:val="000000"/>
          <w:sz w:val="20"/>
          <w:szCs w:val="20"/>
        </w:rPr>
      </w:pPr>
      <w:r>
        <w:rPr>
          <w:rFonts w:ascii="Arial" w:hAnsi="Arial" w:cs="Arial"/>
          <w:color w:val="000000"/>
          <w:sz w:val="20"/>
          <w:szCs w:val="20"/>
        </w:rPr>
        <w:t>Please refer to </w:t>
      </w:r>
      <w:hyperlink r:id="rId199" w:tgtFrame="_blank" w:history="1">
        <w:r>
          <w:rPr>
            <w:rStyle w:val="Hyperlink"/>
            <w:rFonts w:ascii="Arial" w:hAnsi="Arial" w:cs="Arial"/>
            <w:sz w:val="20"/>
            <w:szCs w:val="20"/>
          </w:rPr>
          <w:t>circular DOR.REG.No.84/07.01.000/2022-23 dated December 1, 2022</w:t>
        </w:r>
      </w:hyperlink>
      <w:r>
        <w:rPr>
          <w:rFonts w:ascii="Arial" w:hAnsi="Arial" w:cs="Arial"/>
          <w:color w:val="000000"/>
          <w:sz w:val="20"/>
          <w:szCs w:val="20"/>
        </w:rPr>
        <w:t>, in terms of which UCBs have been categorised into four tiers for regulatory purposes.</w:t>
      </w:r>
    </w:p>
    <w:p w:rsidR="00DA1141" w:rsidRDefault="00DA1141" w:rsidP="00DA1141">
      <w:pPr>
        <w:pStyle w:val="NormalWeb"/>
        <w:jc w:val="both"/>
        <w:rPr>
          <w:rFonts w:ascii="Arial" w:hAnsi="Arial" w:cs="Arial"/>
          <w:color w:val="000000"/>
          <w:sz w:val="20"/>
          <w:szCs w:val="20"/>
        </w:rPr>
      </w:pPr>
      <w:r>
        <w:rPr>
          <w:rFonts w:ascii="Arial" w:hAnsi="Arial" w:cs="Arial"/>
          <w:color w:val="000000"/>
          <w:sz w:val="20"/>
          <w:szCs w:val="20"/>
        </w:rPr>
        <w:t>2. In terms of the </w:t>
      </w:r>
      <w:hyperlink r:id="rId200" w:tgtFrame="_blank" w:history="1">
        <w:r>
          <w:rPr>
            <w:rStyle w:val="Hyperlink"/>
            <w:rFonts w:ascii="Arial" w:hAnsi="Arial" w:cs="Arial"/>
            <w:sz w:val="20"/>
            <w:szCs w:val="20"/>
          </w:rPr>
          <w:t>circular DOR.CRE.REC.42/09.22.010/2022-23 dated June 8, 2022</w:t>
        </w:r>
      </w:hyperlink>
      <w:r>
        <w:rPr>
          <w:rFonts w:ascii="Arial" w:hAnsi="Arial" w:cs="Arial"/>
          <w:color w:val="000000"/>
          <w:sz w:val="20"/>
          <w:szCs w:val="20"/>
        </w:rPr>
        <w:t xml:space="preserve">, ceilings on housing loans to individuals are prescribed as ₹60 lakh for Tier-I UCBs and ₹140 lakh for Tier-II UCBs. Consequent upon classification of UCBs into four tiers under the revised regulatory framework, it has been decided to specify the limits on housing loans sanctioned by UCBs to an individual borrower as ₹60 </w:t>
      </w:r>
      <w:proofErr w:type="gramStart"/>
      <w:r>
        <w:rPr>
          <w:rFonts w:ascii="Arial" w:hAnsi="Arial" w:cs="Arial"/>
          <w:color w:val="000000"/>
          <w:sz w:val="20"/>
          <w:szCs w:val="20"/>
        </w:rPr>
        <w:t>lakh</w:t>
      </w:r>
      <w:proofErr w:type="gramEnd"/>
      <w:r>
        <w:rPr>
          <w:rFonts w:ascii="Arial" w:hAnsi="Arial" w:cs="Arial"/>
          <w:color w:val="000000"/>
          <w:sz w:val="20"/>
          <w:szCs w:val="20"/>
        </w:rPr>
        <w:t xml:space="preserve"> for Tier-1 UCBs and ₹140 lakh for UCBs categorised in Tier-2 to 4. Other terms and conditions of the circular ibid, remain unchanged.</w:t>
      </w:r>
    </w:p>
    <w:p w:rsidR="00DA1141" w:rsidRDefault="00DA1141" w:rsidP="00DA1141">
      <w:pPr>
        <w:pStyle w:val="NormalWeb"/>
        <w:jc w:val="both"/>
        <w:rPr>
          <w:rFonts w:ascii="Arial" w:hAnsi="Arial" w:cs="Arial"/>
          <w:color w:val="000000"/>
          <w:sz w:val="20"/>
          <w:szCs w:val="20"/>
        </w:rPr>
      </w:pPr>
      <w:r>
        <w:rPr>
          <w:rFonts w:ascii="Arial" w:hAnsi="Arial" w:cs="Arial"/>
          <w:color w:val="000000"/>
          <w:sz w:val="20"/>
          <w:szCs w:val="20"/>
        </w:rPr>
        <w:t>3. The limits prescribed under this circular are effective from the date of this circular. However, existing housing loans sanctioned prior to the date of this circular, which may be in breach of the ceiling, will be allowed to run off till maturity.</w:t>
      </w:r>
    </w:p>
    <w:p w:rsidR="00DA1141" w:rsidRDefault="00DA1141" w:rsidP="00DA1141">
      <w:pPr>
        <w:pStyle w:val="NormalWeb"/>
        <w:jc w:val="both"/>
        <w:rPr>
          <w:rFonts w:ascii="Arial" w:hAnsi="Arial" w:cs="Arial"/>
          <w:color w:val="000000"/>
          <w:sz w:val="20"/>
          <w:szCs w:val="20"/>
        </w:rPr>
      </w:pPr>
      <w:r>
        <w:rPr>
          <w:rFonts w:ascii="Arial" w:hAnsi="Arial" w:cs="Arial"/>
          <w:color w:val="000000"/>
          <w:sz w:val="20"/>
          <w:szCs w:val="20"/>
        </w:rPr>
        <w:t>Yours faithfully,</w:t>
      </w:r>
    </w:p>
    <w:p w:rsidR="00DA1141" w:rsidRDefault="00DA1141" w:rsidP="00DA1141">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DA1141" w:rsidRDefault="00DA1141" w:rsidP="00DA1141">
      <w:pPr>
        <w:rPr>
          <w:rFonts w:ascii="Arial" w:hAnsi="Arial" w:cs="Arial"/>
          <w:sz w:val="20"/>
          <w:szCs w:val="20"/>
        </w:rPr>
      </w:pPr>
    </w:p>
    <w:p w:rsidR="00DA1141" w:rsidRDefault="00DA1141" w:rsidP="00DA1141">
      <w:pPr>
        <w:rPr>
          <w:rFonts w:ascii="Arial" w:hAnsi="Arial" w:cs="Arial"/>
          <w:sz w:val="20"/>
          <w:szCs w:val="20"/>
        </w:rPr>
      </w:pPr>
    </w:p>
    <w:p w:rsidR="00DA1141" w:rsidRDefault="00DA1141" w:rsidP="00DA1141">
      <w:pPr>
        <w:spacing w:after="0"/>
        <w:rPr>
          <w:rFonts w:ascii="Arial" w:hAnsi="Arial" w:cs="Arial"/>
          <w:sz w:val="20"/>
          <w:szCs w:val="20"/>
        </w:rPr>
      </w:pPr>
      <w:r w:rsidRPr="00435B25">
        <w:rPr>
          <w:rFonts w:ascii="Arial" w:hAnsi="Arial" w:cs="Arial"/>
          <w:sz w:val="20"/>
          <w:szCs w:val="20"/>
        </w:rPr>
        <w:t>More details can be referred to in the below link.</w:t>
      </w:r>
    </w:p>
    <w:p w:rsidR="00DA1141" w:rsidRDefault="00DA1141" w:rsidP="00DA1141">
      <w:pPr>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201" w:anchor=":~:text=010%2F2022%2D23%20dated%20June,lakh%20for%20Tier%2DII%20UCBs" w:history="1">
        <w:r w:rsidRPr="00735218">
          <w:rPr>
            <w:rStyle w:val="Hyperlink"/>
            <w:rFonts w:ascii="Arial" w:hAnsi="Arial" w:cs="Arial"/>
            <w:sz w:val="20"/>
            <w:szCs w:val="20"/>
          </w:rPr>
          <w:t>https://www.rbi.org.in/Scripts/BS_CircularIndexDisplay.aspx?Id=12432#:~:text=010%2F2022%2D23%20dated%20June,lakh%20for%20Tier%2DII%20UCBs</w:t>
        </w:r>
      </w:hyperlink>
      <w:r w:rsidRPr="00587F28">
        <w:rPr>
          <w:rFonts w:ascii="Arial" w:hAnsi="Arial" w:cs="Arial"/>
          <w:sz w:val="20"/>
          <w:szCs w:val="20"/>
        </w:rPr>
        <w:t>.</w:t>
      </w:r>
    </w:p>
    <w:p w:rsidR="00DA1141" w:rsidRDefault="00DA1141" w:rsidP="00DA1141">
      <w:pPr>
        <w:rPr>
          <w:rFonts w:ascii="Arial" w:hAnsi="Arial" w:cs="Arial"/>
          <w:sz w:val="20"/>
          <w:szCs w:val="20"/>
        </w:rPr>
      </w:pPr>
    </w:p>
    <w:p w:rsidR="00DA1141" w:rsidRDefault="00DA1141" w:rsidP="00C96881">
      <w:pPr>
        <w:rPr>
          <w:rFonts w:ascii="Arial" w:hAnsi="Arial" w:cs="Arial"/>
          <w:bCs/>
          <w:color w:val="000000"/>
          <w:sz w:val="20"/>
          <w:szCs w:val="20"/>
        </w:rPr>
      </w:pPr>
    </w:p>
    <w:sectPr w:rsidR="00DA11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2351A"/>
    <w:multiLevelType w:val="multilevel"/>
    <w:tmpl w:val="D392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602B0"/>
    <w:multiLevelType w:val="multilevel"/>
    <w:tmpl w:val="A0CE7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C1460AC"/>
    <w:multiLevelType w:val="multilevel"/>
    <w:tmpl w:val="F77ABC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E3167B8"/>
    <w:multiLevelType w:val="multilevel"/>
    <w:tmpl w:val="96ACE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EDC1B6B"/>
    <w:multiLevelType w:val="multilevel"/>
    <w:tmpl w:val="421C98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12E110C"/>
    <w:multiLevelType w:val="multilevel"/>
    <w:tmpl w:val="5B24EE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9D33C14"/>
    <w:multiLevelType w:val="multilevel"/>
    <w:tmpl w:val="3B1E554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3109580A"/>
    <w:multiLevelType w:val="multilevel"/>
    <w:tmpl w:val="9086F5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F2418FB"/>
    <w:multiLevelType w:val="multilevel"/>
    <w:tmpl w:val="0C0A2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F8E310F"/>
    <w:multiLevelType w:val="multilevel"/>
    <w:tmpl w:val="7B2CB7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A00010F"/>
    <w:multiLevelType w:val="multilevel"/>
    <w:tmpl w:val="A72CC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C79498A"/>
    <w:multiLevelType w:val="multilevel"/>
    <w:tmpl w:val="EF8429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D2B74A0"/>
    <w:multiLevelType w:val="multilevel"/>
    <w:tmpl w:val="F9CA65CC"/>
    <w:lvl w:ilvl="0">
      <w:start w:val="1"/>
      <w:numFmt w:val="lowerLetter"/>
      <w:lvlText w:val="%1."/>
      <w:lvlJc w:val="left"/>
      <w:pPr>
        <w:tabs>
          <w:tab w:val="num" w:pos="3240"/>
        </w:tabs>
        <w:ind w:left="3240" w:hanging="360"/>
      </w:pPr>
    </w:lvl>
    <w:lvl w:ilvl="1" w:tentative="1">
      <w:start w:val="1"/>
      <w:numFmt w:val="lowerLetter"/>
      <w:lvlText w:val="%2."/>
      <w:lvlJc w:val="left"/>
      <w:pPr>
        <w:tabs>
          <w:tab w:val="num" w:pos="3960"/>
        </w:tabs>
        <w:ind w:left="3960" w:hanging="360"/>
      </w:pPr>
    </w:lvl>
    <w:lvl w:ilvl="2" w:tentative="1">
      <w:start w:val="1"/>
      <w:numFmt w:val="lowerLetter"/>
      <w:lvlText w:val="%3."/>
      <w:lvlJc w:val="left"/>
      <w:pPr>
        <w:tabs>
          <w:tab w:val="num" w:pos="4680"/>
        </w:tabs>
        <w:ind w:left="4680" w:hanging="360"/>
      </w:pPr>
    </w:lvl>
    <w:lvl w:ilvl="3" w:tentative="1">
      <w:start w:val="1"/>
      <w:numFmt w:val="lowerLetter"/>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Letter"/>
      <w:lvlText w:val="%6."/>
      <w:lvlJc w:val="left"/>
      <w:pPr>
        <w:tabs>
          <w:tab w:val="num" w:pos="6840"/>
        </w:tabs>
        <w:ind w:left="6840" w:hanging="360"/>
      </w:pPr>
    </w:lvl>
    <w:lvl w:ilvl="6" w:tentative="1">
      <w:start w:val="1"/>
      <w:numFmt w:val="lowerLetter"/>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Letter"/>
      <w:lvlText w:val="%9."/>
      <w:lvlJc w:val="left"/>
      <w:pPr>
        <w:tabs>
          <w:tab w:val="num" w:pos="9000"/>
        </w:tabs>
        <w:ind w:left="9000" w:hanging="360"/>
      </w:pPr>
    </w:lvl>
  </w:abstractNum>
  <w:abstractNum w:abstractNumId="13" w15:restartNumberingAfterBreak="0">
    <w:nsid w:val="63D114ED"/>
    <w:multiLevelType w:val="multilevel"/>
    <w:tmpl w:val="123617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A6B539B"/>
    <w:multiLevelType w:val="multilevel"/>
    <w:tmpl w:val="53BE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FC2A94"/>
    <w:multiLevelType w:val="multilevel"/>
    <w:tmpl w:val="3808D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B077D3E"/>
    <w:multiLevelType w:val="multilevel"/>
    <w:tmpl w:val="18D60F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10"/>
  </w:num>
  <w:num w:numId="3">
    <w:abstractNumId w:val="15"/>
  </w:num>
  <w:num w:numId="4">
    <w:abstractNumId w:val="12"/>
  </w:num>
  <w:num w:numId="5">
    <w:abstractNumId w:val="9"/>
  </w:num>
  <w:num w:numId="6">
    <w:abstractNumId w:val="2"/>
  </w:num>
  <w:num w:numId="7">
    <w:abstractNumId w:val="1"/>
  </w:num>
  <w:num w:numId="8">
    <w:abstractNumId w:val="11"/>
  </w:num>
  <w:num w:numId="9">
    <w:abstractNumId w:val="13"/>
  </w:num>
  <w:num w:numId="10">
    <w:abstractNumId w:val="8"/>
  </w:num>
  <w:num w:numId="11">
    <w:abstractNumId w:val="5"/>
  </w:num>
  <w:num w:numId="12">
    <w:abstractNumId w:val="6"/>
  </w:num>
  <w:num w:numId="13">
    <w:abstractNumId w:val="7"/>
  </w:num>
  <w:num w:numId="14">
    <w:abstractNumId w:val="16"/>
  </w:num>
  <w:num w:numId="15">
    <w:abstractNumId w:val="0"/>
  </w:num>
  <w:num w:numId="16">
    <w:abstractNumId w:val="14"/>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02"/>
    <w:rsid w:val="0001090D"/>
    <w:rsid w:val="000575E0"/>
    <w:rsid w:val="00091F3D"/>
    <w:rsid w:val="00092B6C"/>
    <w:rsid w:val="000B7E87"/>
    <w:rsid w:val="000D13CB"/>
    <w:rsid w:val="000E2E54"/>
    <w:rsid w:val="00131C73"/>
    <w:rsid w:val="001942B3"/>
    <w:rsid w:val="001E1B5B"/>
    <w:rsid w:val="002378C0"/>
    <w:rsid w:val="00274FAB"/>
    <w:rsid w:val="002E3BA0"/>
    <w:rsid w:val="00311876"/>
    <w:rsid w:val="004107B0"/>
    <w:rsid w:val="00421545"/>
    <w:rsid w:val="00430013"/>
    <w:rsid w:val="00443878"/>
    <w:rsid w:val="00454EA3"/>
    <w:rsid w:val="00470480"/>
    <w:rsid w:val="004C0D2D"/>
    <w:rsid w:val="005004E7"/>
    <w:rsid w:val="005065B6"/>
    <w:rsid w:val="00517EA2"/>
    <w:rsid w:val="0052353B"/>
    <w:rsid w:val="00531DEE"/>
    <w:rsid w:val="00536CF8"/>
    <w:rsid w:val="005678E7"/>
    <w:rsid w:val="0057089E"/>
    <w:rsid w:val="00594523"/>
    <w:rsid w:val="00595AE9"/>
    <w:rsid w:val="00595F75"/>
    <w:rsid w:val="005B17C1"/>
    <w:rsid w:val="005B3A67"/>
    <w:rsid w:val="005F6218"/>
    <w:rsid w:val="006458AB"/>
    <w:rsid w:val="00652C47"/>
    <w:rsid w:val="006817D7"/>
    <w:rsid w:val="00704265"/>
    <w:rsid w:val="007337B5"/>
    <w:rsid w:val="0073686B"/>
    <w:rsid w:val="00751B52"/>
    <w:rsid w:val="00783FC1"/>
    <w:rsid w:val="007D6A09"/>
    <w:rsid w:val="007F311D"/>
    <w:rsid w:val="00823298"/>
    <w:rsid w:val="00827FA7"/>
    <w:rsid w:val="008464C9"/>
    <w:rsid w:val="00866E4E"/>
    <w:rsid w:val="008A1BA1"/>
    <w:rsid w:val="008C7A02"/>
    <w:rsid w:val="00957BFA"/>
    <w:rsid w:val="0099661C"/>
    <w:rsid w:val="009B4291"/>
    <w:rsid w:val="009E2127"/>
    <w:rsid w:val="00A50C6D"/>
    <w:rsid w:val="00AC68C8"/>
    <w:rsid w:val="00B73361"/>
    <w:rsid w:val="00BA0C06"/>
    <w:rsid w:val="00BA4199"/>
    <w:rsid w:val="00BA5B87"/>
    <w:rsid w:val="00BA70DE"/>
    <w:rsid w:val="00BD2F5E"/>
    <w:rsid w:val="00BE4BD6"/>
    <w:rsid w:val="00C16E00"/>
    <w:rsid w:val="00C96881"/>
    <w:rsid w:val="00CA5815"/>
    <w:rsid w:val="00DA1141"/>
    <w:rsid w:val="00DA36B4"/>
    <w:rsid w:val="00DC2321"/>
    <w:rsid w:val="00DD06BC"/>
    <w:rsid w:val="00E653FA"/>
    <w:rsid w:val="00EA23F4"/>
    <w:rsid w:val="00F137D4"/>
    <w:rsid w:val="00FA51FA"/>
    <w:rsid w:val="00FD1759"/>
    <w:rsid w:val="00FE73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F011E-DCE8-4248-8C4C-2C9A910B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7A0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8C7A0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8C7A02"/>
    <w:rPr>
      <w:color w:val="0000FF"/>
      <w:u w:val="single"/>
    </w:rPr>
  </w:style>
  <w:style w:type="character" w:styleId="Strong">
    <w:name w:val="Strong"/>
    <w:basedOn w:val="DefaultParagraphFont"/>
    <w:uiPriority w:val="22"/>
    <w:qFormat/>
    <w:rsid w:val="008C7A02"/>
    <w:rPr>
      <w:b/>
      <w:bCs/>
    </w:rPr>
  </w:style>
  <w:style w:type="character" w:customStyle="1" w:styleId="head1">
    <w:name w:val="head1"/>
    <w:basedOn w:val="DefaultParagraphFont"/>
    <w:rsid w:val="00BE4BD6"/>
  </w:style>
  <w:style w:type="paragraph" w:customStyle="1" w:styleId="msonormal0">
    <w:name w:val="msonormal"/>
    <w:basedOn w:val="Normal"/>
    <w:rsid w:val="0043001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FollowedHyperlink">
    <w:name w:val="FollowedHyperlink"/>
    <w:basedOn w:val="DefaultParagraphFont"/>
    <w:uiPriority w:val="99"/>
    <w:semiHidden/>
    <w:unhideWhenUsed/>
    <w:rsid w:val="00430013"/>
    <w:rPr>
      <w:color w:val="800080"/>
      <w:u w:val="single"/>
    </w:rPr>
  </w:style>
  <w:style w:type="character" w:styleId="Emphasis">
    <w:name w:val="Emphasis"/>
    <w:basedOn w:val="DefaultParagraphFont"/>
    <w:uiPriority w:val="20"/>
    <w:qFormat/>
    <w:rsid w:val="00C16E00"/>
    <w:rPr>
      <w:i/>
      <w:iCs/>
    </w:rPr>
  </w:style>
  <w:style w:type="table" w:styleId="TableGrid">
    <w:name w:val="Table Grid"/>
    <w:basedOn w:val="TableNormal"/>
    <w:uiPriority w:val="39"/>
    <w:rsid w:val="00736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199"/>
    <w:pPr>
      <w:ind w:left="720"/>
      <w:contextualSpacing/>
    </w:pPr>
  </w:style>
  <w:style w:type="paragraph" w:styleId="NoSpacing">
    <w:name w:val="No Spacing"/>
    <w:uiPriority w:val="1"/>
    <w:qFormat/>
    <w:rsid w:val="00BA0C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075">
      <w:bodyDiv w:val="1"/>
      <w:marLeft w:val="0"/>
      <w:marRight w:val="0"/>
      <w:marTop w:val="0"/>
      <w:marBottom w:val="0"/>
      <w:divBdr>
        <w:top w:val="none" w:sz="0" w:space="0" w:color="auto"/>
        <w:left w:val="none" w:sz="0" w:space="0" w:color="auto"/>
        <w:bottom w:val="none" w:sz="0" w:space="0" w:color="auto"/>
        <w:right w:val="none" w:sz="0" w:space="0" w:color="auto"/>
      </w:divBdr>
    </w:div>
    <w:div w:id="8609002">
      <w:bodyDiv w:val="1"/>
      <w:marLeft w:val="0"/>
      <w:marRight w:val="0"/>
      <w:marTop w:val="0"/>
      <w:marBottom w:val="0"/>
      <w:divBdr>
        <w:top w:val="none" w:sz="0" w:space="0" w:color="auto"/>
        <w:left w:val="none" w:sz="0" w:space="0" w:color="auto"/>
        <w:bottom w:val="none" w:sz="0" w:space="0" w:color="auto"/>
        <w:right w:val="none" w:sz="0" w:space="0" w:color="auto"/>
      </w:divBdr>
    </w:div>
    <w:div w:id="16539461">
      <w:bodyDiv w:val="1"/>
      <w:marLeft w:val="0"/>
      <w:marRight w:val="0"/>
      <w:marTop w:val="0"/>
      <w:marBottom w:val="0"/>
      <w:divBdr>
        <w:top w:val="none" w:sz="0" w:space="0" w:color="auto"/>
        <w:left w:val="none" w:sz="0" w:space="0" w:color="auto"/>
        <w:bottom w:val="none" w:sz="0" w:space="0" w:color="auto"/>
        <w:right w:val="none" w:sz="0" w:space="0" w:color="auto"/>
      </w:divBdr>
    </w:div>
    <w:div w:id="21321484">
      <w:bodyDiv w:val="1"/>
      <w:marLeft w:val="0"/>
      <w:marRight w:val="0"/>
      <w:marTop w:val="0"/>
      <w:marBottom w:val="0"/>
      <w:divBdr>
        <w:top w:val="none" w:sz="0" w:space="0" w:color="auto"/>
        <w:left w:val="none" w:sz="0" w:space="0" w:color="auto"/>
        <w:bottom w:val="none" w:sz="0" w:space="0" w:color="auto"/>
        <w:right w:val="none" w:sz="0" w:space="0" w:color="auto"/>
      </w:divBdr>
    </w:div>
    <w:div w:id="28579107">
      <w:bodyDiv w:val="1"/>
      <w:marLeft w:val="0"/>
      <w:marRight w:val="0"/>
      <w:marTop w:val="0"/>
      <w:marBottom w:val="0"/>
      <w:divBdr>
        <w:top w:val="none" w:sz="0" w:space="0" w:color="auto"/>
        <w:left w:val="none" w:sz="0" w:space="0" w:color="auto"/>
        <w:bottom w:val="none" w:sz="0" w:space="0" w:color="auto"/>
        <w:right w:val="none" w:sz="0" w:space="0" w:color="auto"/>
      </w:divBdr>
    </w:div>
    <w:div w:id="33889819">
      <w:bodyDiv w:val="1"/>
      <w:marLeft w:val="0"/>
      <w:marRight w:val="0"/>
      <w:marTop w:val="0"/>
      <w:marBottom w:val="0"/>
      <w:divBdr>
        <w:top w:val="none" w:sz="0" w:space="0" w:color="auto"/>
        <w:left w:val="none" w:sz="0" w:space="0" w:color="auto"/>
        <w:bottom w:val="none" w:sz="0" w:space="0" w:color="auto"/>
        <w:right w:val="none" w:sz="0" w:space="0" w:color="auto"/>
      </w:divBdr>
    </w:div>
    <w:div w:id="36974684">
      <w:bodyDiv w:val="1"/>
      <w:marLeft w:val="0"/>
      <w:marRight w:val="0"/>
      <w:marTop w:val="0"/>
      <w:marBottom w:val="0"/>
      <w:divBdr>
        <w:top w:val="none" w:sz="0" w:space="0" w:color="auto"/>
        <w:left w:val="none" w:sz="0" w:space="0" w:color="auto"/>
        <w:bottom w:val="none" w:sz="0" w:space="0" w:color="auto"/>
        <w:right w:val="none" w:sz="0" w:space="0" w:color="auto"/>
      </w:divBdr>
    </w:div>
    <w:div w:id="61292278">
      <w:bodyDiv w:val="1"/>
      <w:marLeft w:val="0"/>
      <w:marRight w:val="0"/>
      <w:marTop w:val="0"/>
      <w:marBottom w:val="0"/>
      <w:divBdr>
        <w:top w:val="none" w:sz="0" w:space="0" w:color="auto"/>
        <w:left w:val="none" w:sz="0" w:space="0" w:color="auto"/>
        <w:bottom w:val="none" w:sz="0" w:space="0" w:color="auto"/>
        <w:right w:val="none" w:sz="0" w:space="0" w:color="auto"/>
      </w:divBdr>
    </w:div>
    <w:div w:id="92291526">
      <w:bodyDiv w:val="1"/>
      <w:marLeft w:val="0"/>
      <w:marRight w:val="0"/>
      <w:marTop w:val="0"/>
      <w:marBottom w:val="0"/>
      <w:divBdr>
        <w:top w:val="none" w:sz="0" w:space="0" w:color="auto"/>
        <w:left w:val="none" w:sz="0" w:space="0" w:color="auto"/>
        <w:bottom w:val="none" w:sz="0" w:space="0" w:color="auto"/>
        <w:right w:val="none" w:sz="0" w:space="0" w:color="auto"/>
      </w:divBdr>
    </w:div>
    <w:div w:id="94643453">
      <w:bodyDiv w:val="1"/>
      <w:marLeft w:val="0"/>
      <w:marRight w:val="0"/>
      <w:marTop w:val="0"/>
      <w:marBottom w:val="0"/>
      <w:divBdr>
        <w:top w:val="none" w:sz="0" w:space="0" w:color="auto"/>
        <w:left w:val="none" w:sz="0" w:space="0" w:color="auto"/>
        <w:bottom w:val="none" w:sz="0" w:space="0" w:color="auto"/>
        <w:right w:val="none" w:sz="0" w:space="0" w:color="auto"/>
      </w:divBdr>
    </w:div>
    <w:div w:id="108089582">
      <w:bodyDiv w:val="1"/>
      <w:marLeft w:val="0"/>
      <w:marRight w:val="0"/>
      <w:marTop w:val="0"/>
      <w:marBottom w:val="0"/>
      <w:divBdr>
        <w:top w:val="none" w:sz="0" w:space="0" w:color="auto"/>
        <w:left w:val="none" w:sz="0" w:space="0" w:color="auto"/>
        <w:bottom w:val="none" w:sz="0" w:space="0" w:color="auto"/>
        <w:right w:val="none" w:sz="0" w:space="0" w:color="auto"/>
      </w:divBdr>
    </w:div>
    <w:div w:id="137000519">
      <w:bodyDiv w:val="1"/>
      <w:marLeft w:val="0"/>
      <w:marRight w:val="0"/>
      <w:marTop w:val="0"/>
      <w:marBottom w:val="0"/>
      <w:divBdr>
        <w:top w:val="none" w:sz="0" w:space="0" w:color="auto"/>
        <w:left w:val="none" w:sz="0" w:space="0" w:color="auto"/>
        <w:bottom w:val="none" w:sz="0" w:space="0" w:color="auto"/>
        <w:right w:val="none" w:sz="0" w:space="0" w:color="auto"/>
      </w:divBdr>
    </w:div>
    <w:div w:id="166487762">
      <w:bodyDiv w:val="1"/>
      <w:marLeft w:val="0"/>
      <w:marRight w:val="0"/>
      <w:marTop w:val="0"/>
      <w:marBottom w:val="0"/>
      <w:divBdr>
        <w:top w:val="none" w:sz="0" w:space="0" w:color="auto"/>
        <w:left w:val="none" w:sz="0" w:space="0" w:color="auto"/>
        <w:bottom w:val="none" w:sz="0" w:space="0" w:color="auto"/>
        <w:right w:val="none" w:sz="0" w:space="0" w:color="auto"/>
      </w:divBdr>
      <w:divsChild>
        <w:div w:id="15233499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13591510">
      <w:bodyDiv w:val="1"/>
      <w:marLeft w:val="0"/>
      <w:marRight w:val="0"/>
      <w:marTop w:val="0"/>
      <w:marBottom w:val="0"/>
      <w:divBdr>
        <w:top w:val="none" w:sz="0" w:space="0" w:color="auto"/>
        <w:left w:val="none" w:sz="0" w:space="0" w:color="auto"/>
        <w:bottom w:val="none" w:sz="0" w:space="0" w:color="auto"/>
        <w:right w:val="none" w:sz="0" w:space="0" w:color="auto"/>
      </w:divBdr>
    </w:div>
    <w:div w:id="216668471">
      <w:bodyDiv w:val="1"/>
      <w:marLeft w:val="0"/>
      <w:marRight w:val="0"/>
      <w:marTop w:val="0"/>
      <w:marBottom w:val="0"/>
      <w:divBdr>
        <w:top w:val="none" w:sz="0" w:space="0" w:color="auto"/>
        <w:left w:val="none" w:sz="0" w:space="0" w:color="auto"/>
        <w:bottom w:val="none" w:sz="0" w:space="0" w:color="auto"/>
        <w:right w:val="none" w:sz="0" w:space="0" w:color="auto"/>
      </w:divBdr>
    </w:div>
    <w:div w:id="217790509">
      <w:bodyDiv w:val="1"/>
      <w:marLeft w:val="0"/>
      <w:marRight w:val="0"/>
      <w:marTop w:val="0"/>
      <w:marBottom w:val="0"/>
      <w:divBdr>
        <w:top w:val="none" w:sz="0" w:space="0" w:color="auto"/>
        <w:left w:val="none" w:sz="0" w:space="0" w:color="auto"/>
        <w:bottom w:val="none" w:sz="0" w:space="0" w:color="auto"/>
        <w:right w:val="none" w:sz="0" w:space="0" w:color="auto"/>
      </w:divBdr>
    </w:div>
    <w:div w:id="222764671">
      <w:bodyDiv w:val="1"/>
      <w:marLeft w:val="0"/>
      <w:marRight w:val="0"/>
      <w:marTop w:val="0"/>
      <w:marBottom w:val="0"/>
      <w:divBdr>
        <w:top w:val="none" w:sz="0" w:space="0" w:color="auto"/>
        <w:left w:val="none" w:sz="0" w:space="0" w:color="auto"/>
        <w:bottom w:val="none" w:sz="0" w:space="0" w:color="auto"/>
        <w:right w:val="none" w:sz="0" w:space="0" w:color="auto"/>
      </w:divBdr>
    </w:div>
    <w:div w:id="227493853">
      <w:bodyDiv w:val="1"/>
      <w:marLeft w:val="0"/>
      <w:marRight w:val="0"/>
      <w:marTop w:val="0"/>
      <w:marBottom w:val="0"/>
      <w:divBdr>
        <w:top w:val="none" w:sz="0" w:space="0" w:color="auto"/>
        <w:left w:val="none" w:sz="0" w:space="0" w:color="auto"/>
        <w:bottom w:val="none" w:sz="0" w:space="0" w:color="auto"/>
        <w:right w:val="none" w:sz="0" w:space="0" w:color="auto"/>
      </w:divBdr>
    </w:div>
    <w:div w:id="230819233">
      <w:bodyDiv w:val="1"/>
      <w:marLeft w:val="0"/>
      <w:marRight w:val="0"/>
      <w:marTop w:val="0"/>
      <w:marBottom w:val="0"/>
      <w:divBdr>
        <w:top w:val="none" w:sz="0" w:space="0" w:color="auto"/>
        <w:left w:val="none" w:sz="0" w:space="0" w:color="auto"/>
        <w:bottom w:val="none" w:sz="0" w:space="0" w:color="auto"/>
        <w:right w:val="none" w:sz="0" w:space="0" w:color="auto"/>
      </w:divBdr>
    </w:div>
    <w:div w:id="231158842">
      <w:bodyDiv w:val="1"/>
      <w:marLeft w:val="0"/>
      <w:marRight w:val="0"/>
      <w:marTop w:val="0"/>
      <w:marBottom w:val="0"/>
      <w:divBdr>
        <w:top w:val="none" w:sz="0" w:space="0" w:color="auto"/>
        <w:left w:val="none" w:sz="0" w:space="0" w:color="auto"/>
        <w:bottom w:val="none" w:sz="0" w:space="0" w:color="auto"/>
        <w:right w:val="none" w:sz="0" w:space="0" w:color="auto"/>
      </w:divBdr>
    </w:div>
    <w:div w:id="233929865">
      <w:bodyDiv w:val="1"/>
      <w:marLeft w:val="0"/>
      <w:marRight w:val="0"/>
      <w:marTop w:val="0"/>
      <w:marBottom w:val="0"/>
      <w:divBdr>
        <w:top w:val="none" w:sz="0" w:space="0" w:color="auto"/>
        <w:left w:val="none" w:sz="0" w:space="0" w:color="auto"/>
        <w:bottom w:val="none" w:sz="0" w:space="0" w:color="auto"/>
        <w:right w:val="none" w:sz="0" w:space="0" w:color="auto"/>
      </w:divBdr>
    </w:div>
    <w:div w:id="235286390">
      <w:bodyDiv w:val="1"/>
      <w:marLeft w:val="0"/>
      <w:marRight w:val="0"/>
      <w:marTop w:val="0"/>
      <w:marBottom w:val="0"/>
      <w:divBdr>
        <w:top w:val="none" w:sz="0" w:space="0" w:color="auto"/>
        <w:left w:val="none" w:sz="0" w:space="0" w:color="auto"/>
        <w:bottom w:val="none" w:sz="0" w:space="0" w:color="auto"/>
        <w:right w:val="none" w:sz="0" w:space="0" w:color="auto"/>
      </w:divBdr>
    </w:div>
    <w:div w:id="258567117">
      <w:bodyDiv w:val="1"/>
      <w:marLeft w:val="0"/>
      <w:marRight w:val="0"/>
      <w:marTop w:val="0"/>
      <w:marBottom w:val="0"/>
      <w:divBdr>
        <w:top w:val="none" w:sz="0" w:space="0" w:color="auto"/>
        <w:left w:val="none" w:sz="0" w:space="0" w:color="auto"/>
        <w:bottom w:val="none" w:sz="0" w:space="0" w:color="auto"/>
        <w:right w:val="none" w:sz="0" w:space="0" w:color="auto"/>
      </w:divBdr>
    </w:div>
    <w:div w:id="271858561">
      <w:bodyDiv w:val="1"/>
      <w:marLeft w:val="0"/>
      <w:marRight w:val="0"/>
      <w:marTop w:val="0"/>
      <w:marBottom w:val="0"/>
      <w:divBdr>
        <w:top w:val="none" w:sz="0" w:space="0" w:color="auto"/>
        <w:left w:val="none" w:sz="0" w:space="0" w:color="auto"/>
        <w:bottom w:val="none" w:sz="0" w:space="0" w:color="auto"/>
        <w:right w:val="none" w:sz="0" w:space="0" w:color="auto"/>
      </w:divBdr>
    </w:div>
    <w:div w:id="274557839">
      <w:bodyDiv w:val="1"/>
      <w:marLeft w:val="0"/>
      <w:marRight w:val="0"/>
      <w:marTop w:val="0"/>
      <w:marBottom w:val="0"/>
      <w:divBdr>
        <w:top w:val="none" w:sz="0" w:space="0" w:color="auto"/>
        <w:left w:val="none" w:sz="0" w:space="0" w:color="auto"/>
        <w:bottom w:val="none" w:sz="0" w:space="0" w:color="auto"/>
        <w:right w:val="none" w:sz="0" w:space="0" w:color="auto"/>
      </w:divBdr>
    </w:div>
    <w:div w:id="311907784">
      <w:bodyDiv w:val="1"/>
      <w:marLeft w:val="0"/>
      <w:marRight w:val="0"/>
      <w:marTop w:val="0"/>
      <w:marBottom w:val="0"/>
      <w:divBdr>
        <w:top w:val="none" w:sz="0" w:space="0" w:color="auto"/>
        <w:left w:val="none" w:sz="0" w:space="0" w:color="auto"/>
        <w:bottom w:val="none" w:sz="0" w:space="0" w:color="auto"/>
        <w:right w:val="none" w:sz="0" w:space="0" w:color="auto"/>
      </w:divBdr>
    </w:div>
    <w:div w:id="313098231">
      <w:bodyDiv w:val="1"/>
      <w:marLeft w:val="0"/>
      <w:marRight w:val="0"/>
      <w:marTop w:val="0"/>
      <w:marBottom w:val="0"/>
      <w:divBdr>
        <w:top w:val="none" w:sz="0" w:space="0" w:color="auto"/>
        <w:left w:val="none" w:sz="0" w:space="0" w:color="auto"/>
        <w:bottom w:val="none" w:sz="0" w:space="0" w:color="auto"/>
        <w:right w:val="none" w:sz="0" w:space="0" w:color="auto"/>
      </w:divBdr>
    </w:div>
    <w:div w:id="322590242">
      <w:bodyDiv w:val="1"/>
      <w:marLeft w:val="0"/>
      <w:marRight w:val="0"/>
      <w:marTop w:val="0"/>
      <w:marBottom w:val="0"/>
      <w:divBdr>
        <w:top w:val="none" w:sz="0" w:space="0" w:color="auto"/>
        <w:left w:val="none" w:sz="0" w:space="0" w:color="auto"/>
        <w:bottom w:val="none" w:sz="0" w:space="0" w:color="auto"/>
        <w:right w:val="none" w:sz="0" w:space="0" w:color="auto"/>
      </w:divBdr>
    </w:div>
    <w:div w:id="326177256">
      <w:bodyDiv w:val="1"/>
      <w:marLeft w:val="0"/>
      <w:marRight w:val="0"/>
      <w:marTop w:val="0"/>
      <w:marBottom w:val="0"/>
      <w:divBdr>
        <w:top w:val="none" w:sz="0" w:space="0" w:color="auto"/>
        <w:left w:val="none" w:sz="0" w:space="0" w:color="auto"/>
        <w:bottom w:val="none" w:sz="0" w:space="0" w:color="auto"/>
        <w:right w:val="none" w:sz="0" w:space="0" w:color="auto"/>
      </w:divBdr>
    </w:div>
    <w:div w:id="386999612">
      <w:bodyDiv w:val="1"/>
      <w:marLeft w:val="0"/>
      <w:marRight w:val="0"/>
      <w:marTop w:val="0"/>
      <w:marBottom w:val="0"/>
      <w:divBdr>
        <w:top w:val="none" w:sz="0" w:space="0" w:color="auto"/>
        <w:left w:val="none" w:sz="0" w:space="0" w:color="auto"/>
        <w:bottom w:val="none" w:sz="0" w:space="0" w:color="auto"/>
        <w:right w:val="none" w:sz="0" w:space="0" w:color="auto"/>
      </w:divBdr>
    </w:div>
    <w:div w:id="396586796">
      <w:bodyDiv w:val="1"/>
      <w:marLeft w:val="0"/>
      <w:marRight w:val="0"/>
      <w:marTop w:val="0"/>
      <w:marBottom w:val="0"/>
      <w:divBdr>
        <w:top w:val="none" w:sz="0" w:space="0" w:color="auto"/>
        <w:left w:val="none" w:sz="0" w:space="0" w:color="auto"/>
        <w:bottom w:val="none" w:sz="0" w:space="0" w:color="auto"/>
        <w:right w:val="none" w:sz="0" w:space="0" w:color="auto"/>
      </w:divBdr>
    </w:div>
    <w:div w:id="414131266">
      <w:bodyDiv w:val="1"/>
      <w:marLeft w:val="0"/>
      <w:marRight w:val="0"/>
      <w:marTop w:val="0"/>
      <w:marBottom w:val="0"/>
      <w:divBdr>
        <w:top w:val="none" w:sz="0" w:space="0" w:color="auto"/>
        <w:left w:val="none" w:sz="0" w:space="0" w:color="auto"/>
        <w:bottom w:val="none" w:sz="0" w:space="0" w:color="auto"/>
        <w:right w:val="none" w:sz="0" w:space="0" w:color="auto"/>
      </w:divBdr>
    </w:div>
    <w:div w:id="420952876">
      <w:bodyDiv w:val="1"/>
      <w:marLeft w:val="0"/>
      <w:marRight w:val="0"/>
      <w:marTop w:val="0"/>
      <w:marBottom w:val="0"/>
      <w:divBdr>
        <w:top w:val="none" w:sz="0" w:space="0" w:color="auto"/>
        <w:left w:val="none" w:sz="0" w:space="0" w:color="auto"/>
        <w:bottom w:val="none" w:sz="0" w:space="0" w:color="auto"/>
        <w:right w:val="none" w:sz="0" w:space="0" w:color="auto"/>
      </w:divBdr>
    </w:div>
    <w:div w:id="427239035">
      <w:bodyDiv w:val="1"/>
      <w:marLeft w:val="0"/>
      <w:marRight w:val="0"/>
      <w:marTop w:val="0"/>
      <w:marBottom w:val="0"/>
      <w:divBdr>
        <w:top w:val="none" w:sz="0" w:space="0" w:color="auto"/>
        <w:left w:val="none" w:sz="0" w:space="0" w:color="auto"/>
        <w:bottom w:val="none" w:sz="0" w:space="0" w:color="auto"/>
        <w:right w:val="none" w:sz="0" w:space="0" w:color="auto"/>
      </w:divBdr>
    </w:div>
    <w:div w:id="445537964">
      <w:bodyDiv w:val="1"/>
      <w:marLeft w:val="0"/>
      <w:marRight w:val="0"/>
      <w:marTop w:val="0"/>
      <w:marBottom w:val="0"/>
      <w:divBdr>
        <w:top w:val="none" w:sz="0" w:space="0" w:color="auto"/>
        <w:left w:val="none" w:sz="0" w:space="0" w:color="auto"/>
        <w:bottom w:val="none" w:sz="0" w:space="0" w:color="auto"/>
        <w:right w:val="none" w:sz="0" w:space="0" w:color="auto"/>
      </w:divBdr>
    </w:div>
    <w:div w:id="452672347">
      <w:bodyDiv w:val="1"/>
      <w:marLeft w:val="0"/>
      <w:marRight w:val="0"/>
      <w:marTop w:val="0"/>
      <w:marBottom w:val="0"/>
      <w:divBdr>
        <w:top w:val="none" w:sz="0" w:space="0" w:color="auto"/>
        <w:left w:val="none" w:sz="0" w:space="0" w:color="auto"/>
        <w:bottom w:val="none" w:sz="0" w:space="0" w:color="auto"/>
        <w:right w:val="none" w:sz="0" w:space="0" w:color="auto"/>
      </w:divBdr>
    </w:div>
    <w:div w:id="462965334">
      <w:bodyDiv w:val="1"/>
      <w:marLeft w:val="0"/>
      <w:marRight w:val="0"/>
      <w:marTop w:val="0"/>
      <w:marBottom w:val="0"/>
      <w:divBdr>
        <w:top w:val="none" w:sz="0" w:space="0" w:color="auto"/>
        <w:left w:val="none" w:sz="0" w:space="0" w:color="auto"/>
        <w:bottom w:val="none" w:sz="0" w:space="0" w:color="auto"/>
        <w:right w:val="none" w:sz="0" w:space="0" w:color="auto"/>
      </w:divBdr>
    </w:div>
    <w:div w:id="463816516">
      <w:bodyDiv w:val="1"/>
      <w:marLeft w:val="0"/>
      <w:marRight w:val="0"/>
      <w:marTop w:val="0"/>
      <w:marBottom w:val="0"/>
      <w:divBdr>
        <w:top w:val="none" w:sz="0" w:space="0" w:color="auto"/>
        <w:left w:val="none" w:sz="0" w:space="0" w:color="auto"/>
        <w:bottom w:val="none" w:sz="0" w:space="0" w:color="auto"/>
        <w:right w:val="none" w:sz="0" w:space="0" w:color="auto"/>
      </w:divBdr>
    </w:div>
    <w:div w:id="466314997">
      <w:bodyDiv w:val="1"/>
      <w:marLeft w:val="0"/>
      <w:marRight w:val="0"/>
      <w:marTop w:val="0"/>
      <w:marBottom w:val="0"/>
      <w:divBdr>
        <w:top w:val="none" w:sz="0" w:space="0" w:color="auto"/>
        <w:left w:val="none" w:sz="0" w:space="0" w:color="auto"/>
        <w:bottom w:val="none" w:sz="0" w:space="0" w:color="auto"/>
        <w:right w:val="none" w:sz="0" w:space="0" w:color="auto"/>
      </w:divBdr>
    </w:div>
    <w:div w:id="494146283">
      <w:bodyDiv w:val="1"/>
      <w:marLeft w:val="0"/>
      <w:marRight w:val="0"/>
      <w:marTop w:val="0"/>
      <w:marBottom w:val="0"/>
      <w:divBdr>
        <w:top w:val="none" w:sz="0" w:space="0" w:color="auto"/>
        <w:left w:val="none" w:sz="0" w:space="0" w:color="auto"/>
        <w:bottom w:val="none" w:sz="0" w:space="0" w:color="auto"/>
        <w:right w:val="none" w:sz="0" w:space="0" w:color="auto"/>
      </w:divBdr>
    </w:div>
    <w:div w:id="521214259">
      <w:bodyDiv w:val="1"/>
      <w:marLeft w:val="0"/>
      <w:marRight w:val="0"/>
      <w:marTop w:val="0"/>
      <w:marBottom w:val="0"/>
      <w:divBdr>
        <w:top w:val="none" w:sz="0" w:space="0" w:color="auto"/>
        <w:left w:val="none" w:sz="0" w:space="0" w:color="auto"/>
        <w:bottom w:val="none" w:sz="0" w:space="0" w:color="auto"/>
        <w:right w:val="none" w:sz="0" w:space="0" w:color="auto"/>
      </w:divBdr>
    </w:div>
    <w:div w:id="550196514">
      <w:bodyDiv w:val="1"/>
      <w:marLeft w:val="0"/>
      <w:marRight w:val="0"/>
      <w:marTop w:val="0"/>
      <w:marBottom w:val="0"/>
      <w:divBdr>
        <w:top w:val="none" w:sz="0" w:space="0" w:color="auto"/>
        <w:left w:val="none" w:sz="0" w:space="0" w:color="auto"/>
        <w:bottom w:val="none" w:sz="0" w:space="0" w:color="auto"/>
        <w:right w:val="none" w:sz="0" w:space="0" w:color="auto"/>
      </w:divBdr>
    </w:div>
    <w:div w:id="591398326">
      <w:bodyDiv w:val="1"/>
      <w:marLeft w:val="0"/>
      <w:marRight w:val="0"/>
      <w:marTop w:val="0"/>
      <w:marBottom w:val="0"/>
      <w:divBdr>
        <w:top w:val="none" w:sz="0" w:space="0" w:color="auto"/>
        <w:left w:val="none" w:sz="0" w:space="0" w:color="auto"/>
        <w:bottom w:val="none" w:sz="0" w:space="0" w:color="auto"/>
        <w:right w:val="none" w:sz="0" w:space="0" w:color="auto"/>
      </w:divBdr>
    </w:div>
    <w:div w:id="594284341">
      <w:bodyDiv w:val="1"/>
      <w:marLeft w:val="0"/>
      <w:marRight w:val="0"/>
      <w:marTop w:val="0"/>
      <w:marBottom w:val="0"/>
      <w:divBdr>
        <w:top w:val="none" w:sz="0" w:space="0" w:color="auto"/>
        <w:left w:val="none" w:sz="0" w:space="0" w:color="auto"/>
        <w:bottom w:val="none" w:sz="0" w:space="0" w:color="auto"/>
        <w:right w:val="none" w:sz="0" w:space="0" w:color="auto"/>
      </w:divBdr>
    </w:div>
    <w:div w:id="618148456">
      <w:bodyDiv w:val="1"/>
      <w:marLeft w:val="0"/>
      <w:marRight w:val="0"/>
      <w:marTop w:val="0"/>
      <w:marBottom w:val="0"/>
      <w:divBdr>
        <w:top w:val="none" w:sz="0" w:space="0" w:color="auto"/>
        <w:left w:val="none" w:sz="0" w:space="0" w:color="auto"/>
        <w:bottom w:val="none" w:sz="0" w:space="0" w:color="auto"/>
        <w:right w:val="none" w:sz="0" w:space="0" w:color="auto"/>
      </w:divBdr>
    </w:div>
    <w:div w:id="639311987">
      <w:bodyDiv w:val="1"/>
      <w:marLeft w:val="0"/>
      <w:marRight w:val="0"/>
      <w:marTop w:val="0"/>
      <w:marBottom w:val="0"/>
      <w:divBdr>
        <w:top w:val="none" w:sz="0" w:space="0" w:color="auto"/>
        <w:left w:val="none" w:sz="0" w:space="0" w:color="auto"/>
        <w:bottom w:val="none" w:sz="0" w:space="0" w:color="auto"/>
        <w:right w:val="none" w:sz="0" w:space="0" w:color="auto"/>
      </w:divBdr>
    </w:div>
    <w:div w:id="654842157">
      <w:bodyDiv w:val="1"/>
      <w:marLeft w:val="0"/>
      <w:marRight w:val="0"/>
      <w:marTop w:val="0"/>
      <w:marBottom w:val="0"/>
      <w:divBdr>
        <w:top w:val="none" w:sz="0" w:space="0" w:color="auto"/>
        <w:left w:val="none" w:sz="0" w:space="0" w:color="auto"/>
        <w:bottom w:val="none" w:sz="0" w:space="0" w:color="auto"/>
        <w:right w:val="none" w:sz="0" w:space="0" w:color="auto"/>
      </w:divBdr>
    </w:div>
    <w:div w:id="660696416">
      <w:bodyDiv w:val="1"/>
      <w:marLeft w:val="0"/>
      <w:marRight w:val="0"/>
      <w:marTop w:val="0"/>
      <w:marBottom w:val="0"/>
      <w:divBdr>
        <w:top w:val="none" w:sz="0" w:space="0" w:color="auto"/>
        <w:left w:val="none" w:sz="0" w:space="0" w:color="auto"/>
        <w:bottom w:val="none" w:sz="0" w:space="0" w:color="auto"/>
        <w:right w:val="none" w:sz="0" w:space="0" w:color="auto"/>
      </w:divBdr>
    </w:div>
    <w:div w:id="664935080">
      <w:bodyDiv w:val="1"/>
      <w:marLeft w:val="0"/>
      <w:marRight w:val="0"/>
      <w:marTop w:val="0"/>
      <w:marBottom w:val="0"/>
      <w:divBdr>
        <w:top w:val="none" w:sz="0" w:space="0" w:color="auto"/>
        <w:left w:val="none" w:sz="0" w:space="0" w:color="auto"/>
        <w:bottom w:val="none" w:sz="0" w:space="0" w:color="auto"/>
        <w:right w:val="none" w:sz="0" w:space="0" w:color="auto"/>
      </w:divBdr>
    </w:div>
    <w:div w:id="665985340">
      <w:bodyDiv w:val="1"/>
      <w:marLeft w:val="0"/>
      <w:marRight w:val="0"/>
      <w:marTop w:val="0"/>
      <w:marBottom w:val="0"/>
      <w:divBdr>
        <w:top w:val="none" w:sz="0" w:space="0" w:color="auto"/>
        <w:left w:val="none" w:sz="0" w:space="0" w:color="auto"/>
        <w:bottom w:val="none" w:sz="0" w:space="0" w:color="auto"/>
        <w:right w:val="none" w:sz="0" w:space="0" w:color="auto"/>
      </w:divBdr>
    </w:div>
    <w:div w:id="669673616">
      <w:bodyDiv w:val="1"/>
      <w:marLeft w:val="0"/>
      <w:marRight w:val="0"/>
      <w:marTop w:val="0"/>
      <w:marBottom w:val="0"/>
      <w:divBdr>
        <w:top w:val="none" w:sz="0" w:space="0" w:color="auto"/>
        <w:left w:val="none" w:sz="0" w:space="0" w:color="auto"/>
        <w:bottom w:val="none" w:sz="0" w:space="0" w:color="auto"/>
        <w:right w:val="none" w:sz="0" w:space="0" w:color="auto"/>
      </w:divBdr>
    </w:div>
    <w:div w:id="678002605">
      <w:bodyDiv w:val="1"/>
      <w:marLeft w:val="0"/>
      <w:marRight w:val="0"/>
      <w:marTop w:val="0"/>
      <w:marBottom w:val="0"/>
      <w:divBdr>
        <w:top w:val="none" w:sz="0" w:space="0" w:color="auto"/>
        <w:left w:val="none" w:sz="0" w:space="0" w:color="auto"/>
        <w:bottom w:val="none" w:sz="0" w:space="0" w:color="auto"/>
        <w:right w:val="none" w:sz="0" w:space="0" w:color="auto"/>
      </w:divBdr>
    </w:div>
    <w:div w:id="700084248">
      <w:bodyDiv w:val="1"/>
      <w:marLeft w:val="0"/>
      <w:marRight w:val="0"/>
      <w:marTop w:val="0"/>
      <w:marBottom w:val="0"/>
      <w:divBdr>
        <w:top w:val="none" w:sz="0" w:space="0" w:color="auto"/>
        <w:left w:val="none" w:sz="0" w:space="0" w:color="auto"/>
        <w:bottom w:val="none" w:sz="0" w:space="0" w:color="auto"/>
        <w:right w:val="none" w:sz="0" w:space="0" w:color="auto"/>
      </w:divBdr>
    </w:div>
    <w:div w:id="711538694">
      <w:bodyDiv w:val="1"/>
      <w:marLeft w:val="0"/>
      <w:marRight w:val="0"/>
      <w:marTop w:val="0"/>
      <w:marBottom w:val="0"/>
      <w:divBdr>
        <w:top w:val="none" w:sz="0" w:space="0" w:color="auto"/>
        <w:left w:val="none" w:sz="0" w:space="0" w:color="auto"/>
        <w:bottom w:val="none" w:sz="0" w:space="0" w:color="auto"/>
        <w:right w:val="none" w:sz="0" w:space="0" w:color="auto"/>
      </w:divBdr>
    </w:div>
    <w:div w:id="715662022">
      <w:bodyDiv w:val="1"/>
      <w:marLeft w:val="0"/>
      <w:marRight w:val="0"/>
      <w:marTop w:val="0"/>
      <w:marBottom w:val="0"/>
      <w:divBdr>
        <w:top w:val="none" w:sz="0" w:space="0" w:color="auto"/>
        <w:left w:val="none" w:sz="0" w:space="0" w:color="auto"/>
        <w:bottom w:val="none" w:sz="0" w:space="0" w:color="auto"/>
        <w:right w:val="none" w:sz="0" w:space="0" w:color="auto"/>
      </w:divBdr>
    </w:div>
    <w:div w:id="727803392">
      <w:bodyDiv w:val="1"/>
      <w:marLeft w:val="0"/>
      <w:marRight w:val="0"/>
      <w:marTop w:val="0"/>
      <w:marBottom w:val="0"/>
      <w:divBdr>
        <w:top w:val="none" w:sz="0" w:space="0" w:color="auto"/>
        <w:left w:val="none" w:sz="0" w:space="0" w:color="auto"/>
        <w:bottom w:val="none" w:sz="0" w:space="0" w:color="auto"/>
        <w:right w:val="none" w:sz="0" w:space="0" w:color="auto"/>
      </w:divBdr>
    </w:div>
    <w:div w:id="748500431">
      <w:bodyDiv w:val="1"/>
      <w:marLeft w:val="0"/>
      <w:marRight w:val="0"/>
      <w:marTop w:val="0"/>
      <w:marBottom w:val="0"/>
      <w:divBdr>
        <w:top w:val="none" w:sz="0" w:space="0" w:color="auto"/>
        <w:left w:val="none" w:sz="0" w:space="0" w:color="auto"/>
        <w:bottom w:val="none" w:sz="0" w:space="0" w:color="auto"/>
        <w:right w:val="none" w:sz="0" w:space="0" w:color="auto"/>
      </w:divBdr>
    </w:div>
    <w:div w:id="777716992">
      <w:bodyDiv w:val="1"/>
      <w:marLeft w:val="0"/>
      <w:marRight w:val="0"/>
      <w:marTop w:val="0"/>
      <w:marBottom w:val="0"/>
      <w:divBdr>
        <w:top w:val="none" w:sz="0" w:space="0" w:color="auto"/>
        <w:left w:val="none" w:sz="0" w:space="0" w:color="auto"/>
        <w:bottom w:val="none" w:sz="0" w:space="0" w:color="auto"/>
        <w:right w:val="none" w:sz="0" w:space="0" w:color="auto"/>
      </w:divBdr>
    </w:div>
    <w:div w:id="789470264">
      <w:bodyDiv w:val="1"/>
      <w:marLeft w:val="0"/>
      <w:marRight w:val="0"/>
      <w:marTop w:val="0"/>
      <w:marBottom w:val="0"/>
      <w:divBdr>
        <w:top w:val="none" w:sz="0" w:space="0" w:color="auto"/>
        <w:left w:val="none" w:sz="0" w:space="0" w:color="auto"/>
        <w:bottom w:val="none" w:sz="0" w:space="0" w:color="auto"/>
        <w:right w:val="none" w:sz="0" w:space="0" w:color="auto"/>
      </w:divBdr>
    </w:div>
    <w:div w:id="801270355">
      <w:bodyDiv w:val="1"/>
      <w:marLeft w:val="0"/>
      <w:marRight w:val="0"/>
      <w:marTop w:val="0"/>
      <w:marBottom w:val="0"/>
      <w:divBdr>
        <w:top w:val="none" w:sz="0" w:space="0" w:color="auto"/>
        <w:left w:val="none" w:sz="0" w:space="0" w:color="auto"/>
        <w:bottom w:val="none" w:sz="0" w:space="0" w:color="auto"/>
        <w:right w:val="none" w:sz="0" w:space="0" w:color="auto"/>
      </w:divBdr>
    </w:div>
    <w:div w:id="806438611">
      <w:bodyDiv w:val="1"/>
      <w:marLeft w:val="0"/>
      <w:marRight w:val="0"/>
      <w:marTop w:val="0"/>
      <w:marBottom w:val="0"/>
      <w:divBdr>
        <w:top w:val="none" w:sz="0" w:space="0" w:color="auto"/>
        <w:left w:val="none" w:sz="0" w:space="0" w:color="auto"/>
        <w:bottom w:val="none" w:sz="0" w:space="0" w:color="auto"/>
        <w:right w:val="none" w:sz="0" w:space="0" w:color="auto"/>
      </w:divBdr>
    </w:div>
    <w:div w:id="828247438">
      <w:bodyDiv w:val="1"/>
      <w:marLeft w:val="0"/>
      <w:marRight w:val="0"/>
      <w:marTop w:val="0"/>
      <w:marBottom w:val="0"/>
      <w:divBdr>
        <w:top w:val="none" w:sz="0" w:space="0" w:color="auto"/>
        <w:left w:val="none" w:sz="0" w:space="0" w:color="auto"/>
        <w:bottom w:val="none" w:sz="0" w:space="0" w:color="auto"/>
        <w:right w:val="none" w:sz="0" w:space="0" w:color="auto"/>
      </w:divBdr>
    </w:div>
    <w:div w:id="843860842">
      <w:bodyDiv w:val="1"/>
      <w:marLeft w:val="0"/>
      <w:marRight w:val="0"/>
      <w:marTop w:val="0"/>
      <w:marBottom w:val="0"/>
      <w:divBdr>
        <w:top w:val="none" w:sz="0" w:space="0" w:color="auto"/>
        <w:left w:val="none" w:sz="0" w:space="0" w:color="auto"/>
        <w:bottom w:val="none" w:sz="0" w:space="0" w:color="auto"/>
        <w:right w:val="none" w:sz="0" w:space="0" w:color="auto"/>
      </w:divBdr>
    </w:div>
    <w:div w:id="870385571">
      <w:bodyDiv w:val="1"/>
      <w:marLeft w:val="0"/>
      <w:marRight w:val="0"/>
      <w:marTop w:val="0"/>
      <w:marBottom w:val="0"/>
      <w:divBdr>
        <w:top w:val="none" w:sz="0" w:space="0" w:color="auto"/>
        <w:left w:val="none" w:sz="0" w:space="0" w:color="auto"/>
        <w:bottom w:val="none" w:sz="0" w:space="0" w:color="auto"/>
        <w:right w:val="none" w:sz="0" w:space="0" w:color="auto"/>
      </w:divBdr>
    </w:div>
    <w:div w:id="879560757">
      <w:bodyDiv w:val="1"/>
      <w:marLeft w:val="0"/>
      <w:marRight w:val="0"/>
      <w:marTop w:val="0"/>
      <w:marBottom w:val="0"/>
      <w:divBdr>
        <w:top w:val="none" w:sz="0" w:space="0" w:color="auto"/>
        <w:left w:val="none" w:sz="0" w:space="0" w:color="auto"/>
        <w:bottom w:val="none" w:sz="0" w:space="0" w:color="auto"/>
        <w:right w:val="none" w:sz="0" w:space="0" w:color="auto"/>
      </w:divBdr>
    </w:div>
    <w:div w:id="883635990">
      <w:bodyDiv w:val="1"/>
      <w:marLeft w:val="0"/>
      <w:marRight w:val="0"/>
      <w:marTop w:val="0"/>
      <w:marBottom w:val="0"/>
      <w:divBdr>
        <w:top w:val="none" w:sz="0" w:space="0" w:color="auto"/>
        <w:left w:val="none" w:sz="0" w:space="0" w:color="auto"/>
        <w:bottom w:val="none" w:sz="0" w:space="0" w:color="auto"/>
        <w:right w:val="none" w:sz="0" w:space="0" w:color="auto"/>
      </w:divBdr>
    </w:div>
    <w:div w:id="886406307">
      <w:bodyDiv w:val="1"/>
      <w:marLeft w:val="0"/>
      <w:marRight w:val="0"/>
      <w:marTop w:val="0"/>
      <w:marBottom w:val="0"/>
      <w:divBdr>
        <w:top w:val="none" w:sz="0" w:space="0" w:color="auto"/>
        <w:left w:val="none" w:sz="0" w:space="0" w:color="auto"/>
        <w:bottom w:val="none" w:sz="0" w:space="0" w:color="auto"/>
        <w:right w:val="none" w:sz="0" w:space="0" w:color="auto"/>
      </w:divBdr>
    </w:div>
    <w:div w:id="890387345">
      <w:bodyDiv w:val="1"/>
      <w:marLeft w:val="0"/>
      <w:marRight w:val="0"/>
      <w:marTop w:val="0"/>
      <w:marBottom w:val="0"/>
      <w:divBdr>
        <w:top w:val="none" w:sz="0" w:space="0" w:color="auto"/>
        <w:left w:val="none" w:sz="0" w:space="0" w:color="auto"/>
        <w:bottom w:val="none" w:sz="0" w:space="0" w:color="auto"/>
        <w:right w:val="none" w:sz="0" w:space="0" w:color="auto"/>
      </w:divBdr>
    </w:div>
    <w:div w:id="892429401">
      <w:bodyDiv w:val="1"/>
      <w:marLeft w:val="0"/>
      <w:marRight w:val="0"/>
      <w:marTop w:val="0"/>
      <w:marBottom w:val="0"/>
      <w:divBdr>
        <w:top w:val="none" w:sz="0" w:space="0" w:color="auto"/>
        <w:left w:val="none" w:sz="0" w:space="0" w:color="auto"/>
        <w:bottom w:val="none" w:sz="0" w:space="0" w:color="auto"/>
        <w:right w:val="none" w:sz="0" w:space="0" w:color="auto"/>
      </w:divBdr>
    </w:div>
    <w:div w:id="903032960">
      <w:bodyDiv w:val="1"/>
      <w:marLeft w:val="0"/>
      <w:marRight w:val="0"/>
      <w:marTop w:val="0"/>
      <w:marBottom w:val="0"/>
      <w:divBdr>
        <w:top w:val="none" w:sz="0" w:space="0" w:color="auto"/>
        <w:left w:val="none" w:sz="0" w:space="0" w:color="auto"/>
        <w:bottom w:val="none" w:sz="0" w:space="0" w:color="auto"/>
        <w:right w:val="none" w:sz="0" w:space="0" w:color="auto"/>
      </w:divBdr>
    </w:div>
    <w:div w:id="906263673">
      <w:bodyDiv w:val="1"/>
      <w:marLeft w:val="0"/>
      <w:marRight w:val="0"/>
      <w:marTop w:val="0"/>
      <w:marBottom w:val="0"/>
      <w:divBdr>
        <w:top w:val="none" w:sz="0" w:space="0" w:color="auto"/>
        <w:left w:val="none" w:sz="0" w:space="0" w:color="auto"/>
        <w:bottom w:val="none" w:sz="0" w:space="0" w:color="auto"/>
        <w:right w:val="none" w:sz="0" w:space="0" w:color="auto"/>
      </w:divBdr>
    </w:div>
    <w:div w:id="916865073">
      <w:bodyDiv w:val="1"/>
      <w:marLeft w:val="0"/>
      <w:marRight w:val="0"/>
      <w:marTop w:val="0"/>
      <w:marBottom w:val="0"/>
      <w:divBdr>
        <w:top w:val="none" w:sz="0" w:space="0" w:color="auto"/>
        <w:left w:val="none" w:sz="0" w:space="0" w:color="auto"/>
        <w:bottom w:val="none" w:sz="0" w:space="0" w:color="auto"/>
        <w:right w:val="none" w:sz="0" w:space="0" w:color="auto"/>
      </w:divBdr>
    </w:div>
    <w:div w:id="918901097">
      <w:bodyDiv w:val="1"/>
      <w:marLeft w:val="0"/>
      <w:marRight w:val="0"/>
      <w:marTop w:val="0"/>
      <w:marBottom w:val="0"/>
      <w:divBdr>
        <w:top w:val="none" w:sz="0" w:space="0" w:color="auto"/>
        <w:left w:val="none" w:sz="0" w:space="0" w:color="auto"/>
        <w:bottom w:val="none" w:sz="0" w:space="0" w:color="auto"/>
        <w:right w:val="none" w:sz="0" w:space="0" w:color="auto"/>
      </w:divBdr>
    </w:div>
    <w:div w:id="922956890">
      <w:bodyDiv w:val="1"/>
      <w:marLeft w:val="0"/>
      <w:marRight w:val="0"/>
      <w:marTop w:val="0"/>
      <w:marBottom w:val="0"/>
      <w:divBdr>
        <w:top w:val="none" w:sz="0" w:space="0" w:color="auto"/>
        <w:left w:val="none" w:sz="0" w:space="0" w:color="auto"/>
        <w:bottom w:val="none" w:sz="0" w:space="0" w:color="auto"/>
        <w:right w:val="none" w:sz="0" w:space="0" w:color="auto"/>
      </w:divBdr>
    </w:div>
    <w:div w:id="924876333">
      <w:bodyDiv w:val="1"/>
      <w:marLeft w:val="0"/>
      <w:marRight w:val="0"/>
      <w:marTop w:val="0"/>
      <w:marBottom w:val="0"/>
      <w:divBdr>
        <w:top w:val="none" w:sz="0" w:space="0" w:color="auto"/>
        <w:left w:val="none" w:sz="0" w:space="0" w:color="auto"/>
        <w:bottom w:val="none" w:sz="0" w:space="0" w:color="auto"/>
        <w:right w:val="none" w:sz="0" w:space="0" w:color="auto"/>
      </w:divBdr>
    </w:div>
    <w:div w:id="939531404">
      <w:bodyDiv w:val="1"/>
      <w:marLeft w:val="0"/>
      <w:marRight w:val="0"/>
      <w:marTop w:val="0"/>
      <w:marBottom w:val="0"/>
      <w:divBdr>
        <w:top w:val="none" w:sz="0" w:space="0" w:color="auto"/>
        <w:left w:val="none" w:sz="0" w:space="0" w:color="auto"/>
        <w:bottom w:val="none" w:sz="0" w:space="0" w:color="auto"/>
        <w:right w:val="none" w:sz="0" w:space="0" w:color="auto"/>
      </w:divBdr>
    </w:div>
    <w:div w:id="958220609">
      <w:bodyDiv w:val="1"/>
      <w:marLeft w:val="0"/>
      <w:marRight w:val="0"/>
      <w:marTop w:val="0"/>
      <w:marBottom w:val="0"/>
      <w:divBdr>
        <w:top w:val="none" w:sz="0" w:space="0" w:color="auto"/>
        <w:left w:val="none" w:sz="0" w:space="0" w:color="auto"/>
        <w:bottom w:val="none" w:sz="0" w:space="0" w:color="auto"/>
        <w:right w:val="none" w:sz="0" w:space="0" w:color="auto"/>
      </w:divBdr>
    </w:div>
    <w:div w:id="969017121">
      <w:bodyDiv w:val="1"/>
      <w:marLeft w:val="0"/>
      <w:marRight w:val="0"/>
      <w:marTop w:val="0"/>
      <w:marBottom w:val="0"/>
      <w:divBdr>
        <w:top w:val="none" w:sz="0" w:space="0" w:color="auto"/>
        <w:left w:val="none" w:sz="0" w:space="0" w:color="auto"/>
        <w:bottom w:val="none" w:sz="0" w:space="0" w:color="auto"/>
        <w:right w:val="none" w:sz="0" w:space="0" w:color="auto"/>
      </w:divBdr>
    </w:div>
    <w:div w:id="970402306">
      <w:bodyDiv w:val="1"/>
      <w:marLeft w:val="0"/>
      <w:marRight w:val="0"/>
      <w:marTop w:val="0"/>
      <w:marBottom w:val="0"/>
      <w:divBdr>
        <w:top w:val="none" w:sz="0" w:space="0" w:color="auto"/>
        <w:left w:val="none" w:sz="0" w:space="0" w:color="auto"/>
        <w:bottom w:val="none" w:sz="0" w:space="0" w:color="auto"/>
        <w:right w:val="none" w:sz="0" w:space="0" w:color="auto"/>
      </w:divBdr>
      <w:divsChild>
        <w:div w:id="1869904903">
          <w:marLeft w:val="0"/>
          <w:marRight w:val="0"/>
          <w:marTop w:val="0"/>
          <w:marBottom w:val="0"/>
          <w:divBdr>
            <w:top w:val="none" w:sz="0" w:space="0" w:color="auto"/>
            <w:left w:val="none" w:sz="0" w:space="0" w:color="auto"/>
            <w:bottom w:val="none" w:sz="0" w:space="0" w:color="auto"/>
            <w:right w:val="none" w:sz="0" w:space="0" w:color="auto"/>
          </w:divBdr>
        </w:div>
      </w:divsChild>
    </w:div>
    <w:div w:id="986713815">
      <w:bodyDiv w:val="1"/>
      <w:marLeft w:val="0"/>
      <w:marRight w:val="0"/>
      <w:marTop w:val="0"/>
      <w:marBottom w:val="0"/>
      <w:divBdr>
        <w:top w:val="none" w:sz="0" w:space="0" w:color="auto"/>
        <w:left w:val="none" w:sz="0" w:space="0" w:color="auto"/>
        <w:bottom w:val="none" w:sz="0" w:space="0" w:color="auto"/>
        <w:right w:val="none" w:sz="0" w:space="0" w:color="auto"/>
      </w:divBdr>
    </w:div>
    <w:div w:id="1019161441">
      <w:bodyDiv w:val="1"/>
      <w:marLeft w:val="0"/>
      <w:marRight w:val="0"/>
      <w:marTop w:val="0"/>
      <w:marBottom w:val="0"/>
      <w:divBdr>
        <w:top w:val="none" w:sz="0" w:space="0" w:color="auto"/>
        <w:left w:val="none" w:sz="0" w:space="0" w:color="auto"/>
        <w:bottom w:val="none" w:sz="0" w:space="0" w:color="auto"/>
        <w:right w:val="none" w:sz="0" w:space="0" w:color="auto"/>
      </w:divBdr>
    </w:div>
    <w:div w:id="1076587992">
      <w:bodyDiv w:val="1"/>
      <w:marLeft w:val="0"/>
      <w:marRight w:val="0"/>
      <w:marTop w:val="0"/>
      <w:marBottom w:val="0"/>
      <w:divBdr>
        <w:top w:val="none" w:sz="0" w:space="0" w:color="auto"/>
        <w:left w:val="none" w:sz="0" w:space="0" w:color="auto"/>
        <w:bottom w:val="none" w:sz="0" w:space="0" w:color="auto"/>
        <w:right w:val="none" w:sz="0" w:space="0" w:color="auto"/>
      </w:divBdr>
    </w:div>
    <w:div w:id="1081635629">
      <w:bodyDiv w:val="1"/>
      <w:marLeft w:val="0"/>
      <w:marRight w:val="0"/>
      <w:marTop w:val="0"/>
      <w:marBottom w:val="0"/>
      <w:divBdr>
        <w:top w:val="none" w:sz="0" w:space="0" w:color="auto"/>
        <w:left w:val="none" w:sz="0" w:space="0" w:color="auto"/>
        <w:bottom w:val="none" w:sz="0" w:space="0" w:color="auto"/>
        <w:right w:val="none" w:sz="0" w:space="0" w:color="auto"/>
      </w:divBdr>
      <w:divsChild>
        <w:div w:id="1426539837">
          <w:marLeft w:val="0"/>
          <w:marRight w:val="0"/>
          <w:marTop w:val="0"/>
          <w:marBottom w:val="0"/>
          <w:divBdr>
            <w:top w:val="none" w:sz="0" w:space="0" w:color="auto"/>
            <w:left w:val="none" w:sz="0" w:space="0" w:color="auto"/>
            <w:bottom w:val="none" w:sz="0" w:space="0" w:color="auto"/>
            <w:right w:val="none" w:sz="0" w:space="0" w:color="auto"/>
          </w:divBdr>
        </w:div>
      </w:divsChild>
    </w:div>
    <w:div w:id="1097948657">
      <w:bodyDiv w:val="1"/>
      <w:marLeft w:val="0"/>
      <w:marRight w:val="0"/>
      <w:marTop w:val="0"/>
      <w:marBottom w:val="0"/>
      <w:divBdr>
        <w:top w:val="none" w:sz="0" w:space="0" w:color="auto"/>
        <w:left w:val="none" w:sz="0" w:space="0" w:color="auto"/>
        <w:bottom w:val="none" w:sz="0" w:space="0" w:color="auto"/>
        <w:right w:val="none" w:sz="0" w:space="0" w:color="auto"/>
      </w:divBdr>
    </w:div>
    <w:div w:id="1098599105">
      <w:bodyDiv w:val="1"/>
      <w:marLeft w:val="0"/>
      <w:marRight w:val="0"/>
      <w:marTop w:val="0"/>
      <w:marBottom w:val="0"/>
      <w:divBdr>
        <w:top w:val="none" w:sz="0" w:space="0" w:color="auto"/>
        <w:left w:val="none" w:sz="0" w:space="0" w:color="auto"/>
        <w:bottom w:val="none" w:sz="0" w:space="0" w:color="auto"/>
        <w:right w:val="none" w:sz="0" w:space="0" w:color="auto"/>
      </w:divBdr>
      <w:divsChild>
        <w:div w:id="23234978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19252560">
      <w:bodyDiv w:val="1"/>
      <w:marLeft w:val="0"/>
      <w:marRight w:val="0"/>
      <w:marTop w:val="0"/>
      <w:marBottom w:val="0"/>
      <w:divBdr>
        <w:top w:val="none" w:sz="0" w:space="0" w:color="auto"/>
        <w:left w:val="none" w:sz="0" w:space="0" w:color="auto"/>
        <w:bottom w:val="none" w:sz="0" w:space="0" w:color="auto"/>
        <w:right w:val="none" w:sz="0" w:space="0" w:color="auto"/>
      </w:divBdr>
      <w:divsChild>
        <w:div w:id="18745196">
          <w:marLeft w:val="0"/>
          <w:marRight w:val="0"/>
          <w:marTop w:val="0"/>
          <w:marBottom w:val="0"/>
          <w:divBdr>
            <w:top w:val="none" w:sz="0" w:space="0" w:color="auto"/>
            <w:left w:val="none" w:sz="0" w:space="0" w:color="auto"/>
            <w:bottom w:val="none" w:sz="0" w:space="0" w:color="auto"/>
            <w:right w:val="none" w:sz="0" w:space="0" w:color="auto"/>
          </w:divBdr>
        </w:div>
      </w:divsChild>
    </w:div>
    <w:div w:id="1126660584">
      <w:bodyDiv w:val="1"/>
      <w:marLeft w:val="0"/>
      <w:marRight w:val="0"/>
      <w:marTop w:val="0"/>
      <w:marBottom w:val="0"/>
      <w:divBdr>
        <w:top w:val="none" w:sz="0" w:space="0" w:color="auto"/>
        <w:left w:val="none" w:sz="0" w:space="0" w:color="auto"/>
        <w:bottom w:val="none" w:sz="0" w:space="0" w:color="auto"/>
        <w:right w:val="none" w:sz="0" w:space="0" w:color="auto"/>
      </w:divBdr>
    </w:div>
    <w:div w:id="1136215515">
      <w:bodyDiv w:val="1"/>
      <w:marLeft w:val="0"/>
      <w:marRight w:val="0"/>
      <w:marTop w:val="0"/>
      <w:marBottom w:val="0"/>
      <w:divBdr>
        <w:top w:val="none" w:sz="0" w:space="0" w:color="auto"/>
        <w:left w:val="none" w:sz="0" w:space="0" w:color="auto"/>
        <w:bottom w:val="none" w:sz="0" w:space="0" w:color="auto"/>
        <w:right w:val="none" w:sz="0" w:space="0" w:color="auto"/>
      </w:divBdr>
    </w:div>
    <w:div w:id="1171876733">
      <w:bodyDiv w:val="1"/>
      <w:marLeft w:val="0"/>
      <w:marRight w:val="0"/>
      <w:marTop w:val="0"/>
      <w:marBottom w:val="0"/>
      <w:divBdr>
        <w:top w:val="none" w:sz="0" w:space="0" w:color="auto"/>
        <w:left w:val="none" w:sz="0" w:space="0" w:color="auto"/>
        <w:bottom w:val="none" w:sz="0" w:space="0" w:color="auto"/>
        <w:right w:val="none" w:sz="0" w:space="0" w:color="auto"/>
      </w:divBdr>
    </w:div>
    <w:div w:id="1176964967">
      <w:bodyDiv w:val="1"/>
      <w:marLeft w:val="0"/>
      <w:marRight w:val="0"/>
      <w:marTop w:val="0"/>
      <w:marBottom w:val="0"/>
      <w:divBdr>
        <w:top w:val="none" w:sz="0" w:space="0" w:color="auto"/>
        <w:left w:val="none" w:sz="0" w:space="0" w:color="auto"/>
        <w:bottom w:val="none" w:sz="0" w:space="0" w:color="auto"/>
        <w:right w:val="none" w:sz="0" w:space="0" w:color="auto"/>
      </w:divBdr>
    </w:div>
    <w:div w:id="1179077183">
      <w:bodyDiv w:val="1"/>
      <w:marLeft w:val="0"/>
      <w:marRight w:val="0"/>
      <w:marTop w:val="0"/>
      <w:marBottom w:val="0"/>
      <w:divBdr>
        <w:top w:val="none" w:sz="0" w:space="0" w:color="auto"/>
        <w:left w:val="none" w:sz="0" w:space="0" w:color="auto"/>
        <w:bottom w:val="none" w:sz="0" w:space="0" w:color="auto"/>
        <w:right w:val="none" w:sz="0" w:space="0" w:color="auto"/>
      </w:divBdr>
    </w:div>
    <w:div w:id="1198665329">
      <w:bodyDiv w:val="1"/>
      <w:marLeft w:val="0"/>
      <w:marRight w:val="0"/>
      <w:marTop w:val="0"/>
      <w:marBottom w:val="0"/>
      <w:divBdr>
        <w:top w:val="none" w:sz="0" w:space="0" w:color="auto"/>
        <w:left w:val="none" w:sz="0" w:space="0" w:color="auto"/>
        <w:bottom w:val="none" w:sz="0" w:space="0" w:color="auto"/>
        <w:right w:val="none" w:sz="0" w:space="0" w:color="auto"/>
      </w:divBdr>
      <w:divsChild>
        <w:div w:id="1055649">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227718501">
      <w:bodyDiv w:val="1"/>
      <w:marLeft w:val="0"/>
      <w:marRight w:val="0"/>
      <w:marTop w:val="0"/>
      <w:marBottom w:val="0"/>
      <w:divBdr>
        <w:top w:val="none" w:sz="0" w:space="0" w:color="auto"/>
        <w:left w:val="none" w:sz="0" w:space="0" w:color="auto"/>
        <w:bottom w:val="none" w:sz="0" w:space="0" w:color="auto"/>
        <w:right w:val="none" w:sz="0" w:space="0" w:color="auto"/>
      </w:divBdr>
    </w:div>
    <w:div w:id="1280337479">
      <w:bodyDiv w:val="1"/>
      <w:marLeft w:val="0"/>
      <w:marRight w:val="0"/>
      <w:marTop w:val="0"/>
      <w:marBottom w:val="0"/>
      <w:divBdr>
        <w:top w:val="none" w:sz="0" w:space="0" w:color="auto"/>
        <w:left w:val="none" w:sz="0" w:space="0" w:color="auto"/>
        <w:bottom w:val="none" w:sz="0" w:space="0" w:color="auto"/>
        <w:right w:val="none" w:sz="0" w:space="0" w:color="auto"/>
      </w:divBdr>
    </w:div>
    <w:div w:id="1285500718">
      <w:bodyDiv w:val="1"/>
      <w:marLeft w:val="0"/>
      <w:marRight w:val="0"/>
      <w:marTop w:val="0"/>
      <w:marBottom w:val="0"/>
      <w:divBdr>
        <w:top w:val="none" w:sz="0" w:space="0" w:color="auto"/>
        <w:left w:val="none" w:sz="0" w:space="0" w:color="auto"/>
        <w:bottom w:val="none" w:sz="0" w:space="0" w:color="auto"/>
        <w:right w:val="none" w:sz="0" w:space="0" w:color="auto"/>
      </w:divBdr>
    </w:div>
    <w:div w:id="1313943670">
      <w:bodyDiv w:val="1"/>
      <w:marLeft w:val="0"/>
      <w:marRight w:val="0"/>
      <w:marTop w:val="0"/>
      <w:marBottom w:val="0"/>
      <w:divBdr>
        <w:top w:val="none" w:sz="0" w:space="0" w:color="auto"/>
        <w:left w:val="none" w:sz="0" w:space="0" w:color="auto"/>
        <w:bottom w:val="none" w:sz="0" w:space="0" w:color="auto"/>
        <w:right w:val="none" w:sz="0" w:space="0" w:color="auto"/>
      </w:divBdr>
    </w:div>
    <w:div w:id="1327975668">
      <w:bodyDiv w:val="1"/>
      <w:marLeft w:val="0"/>
      <w:marRight w:val="0"/>
      <w:marTop w:val="0"/>
      <w:marBottom w:val="0"/>
      <w:divBdr>
        <w:top w:val="none" w:sz="0" w:space="0" w:color="auto"/>
        <w:left w:val="none" w:sz="0" w:space="0" w:color="auto"/>
        <w:bottom w:val="none" w:sz="0" w:space="0" w:color="auto"/>
        <w:right w:val="none" w:sz="0" w:space="0" w:color="auto"/>
      </w:divBdr>
    </w:div>
    <w:div w:id="1330251831">
      <w:bodyDiv w:val="1"/>
      <w:marLeft w:val="0"/>
      <w:marRight w:val="0"/>
      <w:marTop w:val="0"/>
      <w:marBottom w:val="0"/>
      <w:divBdr>
        <w:top w:val="none" w:sz="0" w:space="0" w:color="auto"/>
        <w:left w:val="none" w:sz="0" w:space="0" w:color="auto"/>
        <w:bottom w:val="none" w:sz="0" w:space="0" w:color="auto"/>
        <w:right w:val="none" w:sz="0" w:space="0" w:color="auto"/>
      </w:divBdr>
    </w:div>
    <w:div w:id="1334142971">
      <w:bodyDiv w:val="1"/>
      <w:marLeft w:val="0"/>
      <w:marRight w:val="0"/>
      <w:marTop w:val="0"/>
      <w:marBottom w:val="0"/>
      <w:divBdr>
        <w:top w:val="none" w:sz="0" w:space="0" w:color="auto"/>
        <w:left w:val="none" w:sz="0" w:space="0" w:color="auto"/>
        <w:bottom w:val="none" w:sz="0" w:space="0" w:color="auto"/>
        <w:right w:val="none" w:sz="0" w:space="0" w:color="auto"/>
      </w:divBdr>
    </w:div>
    <w:div w:id="1354307206">
      <w:bodyDiv w:val="1"/>
      <w:marLeft w:val="0"/>
      <w:marRight w:val="0"/>
      <w:marTop w:val="0"/>
      <w:marBottom w:val="0"/>
      <w:divBdr>
        <w:top w:val="none" w:sz="0" w:space="0" w:color="auto"/>
        <w:left w:val="none" w:sz="0" w:space="0" w:color="auto"/>
        <w:bottom w:val="none" w:sz="0" w:space="0" w:color="auto"/>
        <w:right w:val="none" w:sz="0" w:space="0" w:color="auto"/>
      </w:divBdr>
    </w:div>
    <w:div w:id="1371805828">
      <w:bodyDiv w:val="1"/>
      <w:marLeft w:val="0"/>
      <w:marRight w:val="0"/>
      <w:marTop w:val="0"/>
      <w:marBottom w:val="0"/>
      <w:divBdr>
        <w:top w:val="none" w:sz="0" w:space="0" w:color="auto"/>
        <w:left w:val="none" w:sz="0" w:space="0" w:color="auto"/>
        <w:bottom w:val="none" w:sz="0" w:space="0" w:color="auto"/>
        <w:right w:val="none" w:sz="0" w:space="0" w:color="auto"/>
      </w:divBdr>
      <w:divsChild>
        <w:div w:id="88598950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401488796">
      <w:bodyDiv w:val="1"/>
      <w:marLeft w:val="0"/>
      <w:marRight w:val="0"/>
      <w:marTop w:val="0"/>
      <w:marBottom w:val="0"/>
      <w:divBdr>
        <w:top w:val="none" w:sz="0" w:space="0" w:color="auto"/>
        <w:left w:val="none" w:sz="0" w:space="0" w:color="auto"/>
        <w:bottom w:val="none" w:sz="0" w:space="0" w:color="auto"/>
        <w:right w:val="none" w:sz="0" w:space="0" w:color="auto"/>
      </w:divBdr>
    </w:div>
    <w:div w:id="1403680862">
      <w:bodyDiv w:val="1"/>
      <w:marLeft w:val="0"/>
      <w:marRight w:val="0"/>
      <w:marTop w:val="0"/>
      <w:marBottom w:val="0"/>
      <w:divBdr>
        <w:top w:val="none" w:sz="0" w:space="0" w:color="auto"/>
        <w:left w:val="none" w:sz="0" w:space="0" w:color="auto"/>
        <w:bottom w:val="none" w:sz="0" w:space="0" w:color="auto"/>
        <w:right w:val="none" w:sz="0" w:space="0" w:color="auto"/>
      </w:divBdr>
    </w:div>
    <w:div w:id="1446775067">
      <w:bodyDiv w:val="1"/>
      <w:marLeft w:val="0"/>
      <w:marRight w:val="0"/>
      <w:marTop w:val="0"/>
      <w:marBottom w:val="0"/>
      <w:divBdr>
        <w:top w:val="none" w:sz="0" w:space="0" w:color="auto"/>
        <w:left w:val="none" w:sz="0" w:space="0" w:color="auto"/>
        <w:bottom w:val="none" w:sz="0" w:space="0" w:color="auto"/>
        <w:right w:val="none" w:sz="0" w:space="0" w:color="auto"/>
      </w:divBdr>
    </w:div>
    <w:div w:id="1459496975">
      <w:bodyDiv w:val="1"/>
      <w:marLeft w:val="0"/>
      <w:marRight w:val="0"/>
      <w:marTop w:val="0"/>
      <w:marBottom w:val="0"/>
      <w:divBdr>
        <w:top w:val="none" w:sz="0" w:space="0" w:color="auto"/>
        <w:left w:val="none" w:sz="0" w:space="0" w:color="auto"/>
        <w:bottom w:val="none" w:sz="0" w:space="0" w:color="auto"/>
        <w:right w:val="none" w:sz="0" w:space="0" w:color="auto"/>
      </w:divBdr>
    </w:div>
    <w:div w:id="1463579600">
      <w:bodyDiv w:val="1"/>
      <w:marLeft w:val="0"/>
      <w:marRight w:val="0"/>
      <w:marTop w:val="0"/>
      <w:marBottom w:val="0"/>
      <w:divBdr>
        <w:top w:val="none" w:sz="0" w:space="0" w:color="auto"/>
        <w:left w:val="none" w:sz="0" w:space="0" w:color="auto"/>
        <w:bottom w:val="none" w:sz="0" w:space="0" w:color="auto"/>
        <w:right w:val="none" w:sz="0" w:space="0" w:color="auto"/>
      </w:divBdr>
    </w:div>
    <w:div w:id="1470585462">
      <w:bodyDiv w:val="1"/>
      <w:marLeft w:val="0"/>
      <w:marRight w:val="0"/>
      <w:marTop w:val="0"/>
      <w:marBottom w:val="0"/>
      <w:divBdr>
        <w:top w:val="none" w:sz="0" w:space="0" w:color="auto"/>
        <w:left w:val="none" w:sz="0" w:space="0" w:color="auto"/>
        <w:bottom w:val="none" w:sz="0" w:space="0" w:color="auto"/>
        <w:right w:val="none" w:sz="0" w:space="0" w:color="auto"/>
      </w:divBdr>
    </w:div>
    <w:div w:id="1481773790">
      <w:bodyDiv w:val="1"/>
      <w:marLeft w:val="0"/>
      <w:marRight w:val="0"/>
      <w:marTop w:val="0"/>
      <w:marBottom w:val="0"/>
      <w:divBdr>
        <w:top w:val="none" w:sz="0" w:space="0" w:color="auto"/>
        <w:left w:val="none" w:sz="0" w:space="0" w:color="auto"/>
        <w:bottom w:val="none" w:sz="0" w:space="0" w:color="auto"/>
        <w:right w:val="none" w:sz="0" w:space="0" w:color="auto"/>
      </w:divBdr>
    </w:div>
    <w:div w:id="1494835157">
      <w:bodyDiv w:val="1"/>
      <w:marLeft w:val="0"/>
      <w:marRight w:val="0"/>
      <w:marTop w:val="0"/>
      <w:marBottom w:val="0"/>
      <w:divBdr>
        <w:top w:val="none" w:sz="0" w:space="0" w:color="auto"/>
        <w:left w:val="none" w:sz="0" w:space="0" w:color="auto"/>
        <w:bottom w:val="none" w:sz="0" w:space="0" w:color="auto"/>
        <w:right w:val="none" w:sz="0" w:space="0" w:color="auto"/>
      </w:divBdr>
    </w:div>
    <w:div w:id="1514566788">
      <w:bodyDiv w:val="1"/>
      <w:marLeft w:val="0"/>
      <w:marRight w:val="0"/>
      <w:marTop w:val="0"/>
      <w:marBottom w:val="0"/>
      <w:divBdr>
        <w:top w:val="none" w:sz="0" w:space="0" w:color="auto"/>
        <w:left w:val="none" w:sz="0" w:space="0" w:color="auto"/>
        <w:bottom w:val="none" w:sz="0" w:space="0" w:color="auto"/>
        <w:right w:val="none" w:sz="0" w:space="0" w:color="auto"/>
      </w:divBdr>
    </w:div>
    <w:div w:id="1524392721">
      <w:bodyDiv w:val="1"/>
      <w:marLeft w:val="0"/>
      <w:marRight w:val="0"/>
      <w:marTop w:val="0"/>
      <w:marBottom w:val="0"/>
      <w:divBdr>
        <w:top w:val="none" w:sz="0" w:space="0" w:color="auto"/>
        <w:left w:val="none" w:sz="0" w:space="0" w:color="auto"/>
        <w:bottom w:val="none" w:sz="0" w:space="0" w:color="auto"/>
        <w:right w:val="none" w:sz="0" w:space="0" w:color="auto"/>
      </w:divBdr>
    </w:div>
    <w:div w:id="1551267400">
      <w:bodyDiv w:val="1"/>
      <w:marLeft w:val="0"/>
      <w:marRight w:val="0"/>
      <w:marTop w:val="0"/>
      <w:marBottom w:val="0"/>
      <w:divBdr>
        <w:top w:val="none" w:sz="0" w:space="0" w:color="auto"/>
        <w:left w:val="none" w:sz="0" w:space="0" w:color="auto"/>
        <w:bottom w:val="none" w:sz="0" w:space="0" w:color="auto"/>
        <w:right w:val="none" w:sz="0" w:space="0" w:color="auto"/>
      </w:divBdr>
    </w:div>
    <w:div w:id="1556694460">
      <w:bodyDiv w:val="1"/>
      <w:marLeft w:val="0"/>
      <w:marRight w:val="0"/>
      <w:marTop w:val="0"/>
      <w:marBottom w:val="0"/>
      <w:divBdr>
        <w:top w:val="none" w:sz="0" w:space="0" w:color="auto"/>
        <w:left w:val="none" w:sz="0" w:space="0" w:color="auto"/>
        <w:bottom w:val="none" w:sz="0" w:space="0" w:color="auto"/>
        <w:right w:val="none" w:sz="0" w:space="0" w:color="auto"/>
      </w:divBdr>
    </w:div>
    <w:div w:id="1561133764">
      <w:bodyDiv w:val="1"/>
      <w:marLeft w:val="0"/>
      <w:marRight w:val="0"/>
      <w:marTop w:val="0"/>
      <w:marBottom w:val="0"/>
      <w:divBdr>
        <w:top w:val="none" w:sz="0" w:space="0" w:color="auto"/>
        <w:left w:val="none" w:sz="0" w:space="0" w:color="auto"/>
        <w:bottom w:val="none" w:sz="0" w:space="0" w:color="auto"/>
        <w:right w:val="none" w:sz="0" w:space="0" w:color="auto"/>
      </w:divBdr>
    </w:div>
    <w:div w:id="1564759533">
      <w:bodyDiv w:val="1"/>
      <w:marLeft w:val="0"/>
      <w:marRight w:val="0"/>
      <w:marTop w:val="0"/>
      <w:marBottom w:val="0"/>
      <w:divBdr>
        <w:top w:val="none" w:sz="0" w:space="0" w:color="auto"/>
        <w:left w:val="none" w:sz="0" w:space="0" w:color="auto"/>
        <w:bottom w:val="none" w:sz="0" w:space="0" w:color="auto"/>
        <w:right w:val="none" w:sz="0" w:space="0" w:color="auto"/>
      </w:divBdr>
    </w:div>
    <w:div w:id="1608997768">
      <w:bodyDiv w:val="1"/>
      <w:marLeft w:val="0"/>
      <w:marRight w:val="0"/>
      <w:marTop w:val="0"/>
      <w:marBottom w:val="0"/>
      <w:divBdr>
        <w:top w:val="none" w:sz="0" w:space="0" w:color="auto"/>
        <w:left w:val="none" w:sz="0" w:space="0" w:color="auto"/>
        <w:bottom w:val="none" w:sz="0" w:space="0" w:color="auto"/>
        <w:right w:val="none" w:sz="0" w:space="0" w:color="auto"/>
      </w:divBdr>
    </w:div>
    <w:div w:id="1662733602">
      <w:bodyDiv w:val="1"/>
      <w:marLeft w:val="0"/>
      <w:marRight w:val="0"/>
      <w:marTop w:val="0"/>
      <w:marBottom w:val="0"/>
      <w:divBdr>
        <w:top w:val="none" w:sz="0" w:space="0" w:color="auto"/>
        <w:left w:val="none" w:sz="0" w:space="0" w:color="auto"/>
        <w:bottom w:val="none" w:sz="0" w:space="0" w:color="auto"/>
        <w:right w:val="none" w:sz="0" w:space="0" w:color="auto"/>
      </w:divBdr>
    </w:div>
    <w:div w:id="1668552067">
      <w:bodyDiv w:val="1"/>
      <w:marLeft w:val="0"/>
      <w:marRight w:val="0"/>
      <w:marTop w:val="0"/>
      <w:marBottom w:val="0"/>
      <w:divBdr>
        <w:top w:val="none" w:sz="0" w:space="0" w:color="auto"/>
        <w:left w:val="none" w:sz="0" w:space="0" w:color="auto"/>
        <w:bottom w:val="none" w:sz="0" w:space="0" w:color="auto"/>
        <w:right w:val="none" w:sz="0" w:space="0" w:color="auto"/>
      </w:divBdr>
    </w:div>
    <w:div w:id="1677532213">
      <w:bodyDiv w:val="1"/>
      <w:marLeft w:val="0"/>
      <w:marRight w:val="0"/>
      <w:marTop w:val="0"/>
      <w:marBottom w:val="0"/>
      <w:divBdr>
        <w:top w:val="none" w:sz="0" w:space="0" w:color="auto"/>
        <w:left w:val="none" w:sz="0" w:space="0" w:color="auto"/>
        <w:bottom w:val="none" w:sz="0" w:space="0" w:color="auto"/>
        <w:right w:val="none" w:sz="0" w:space="0" w:color="auto"/>
      </w:divBdr>
    </w:div>
    <w:div w:id="1679774686">
      <w:bodyDiv w:val="1"/>
      <w:marLeft w:val="0"/>
      <w:marRight w:val="0"/>
      <w:marTop w:val="0"/>
      <w:marBottom w:val="0"/>
      <w:divBdr>
        <w:top w:val="none" w:sz="0" w:space="0" w:color="auto"/>
        <w:left w:val="none" w:sz="0" w:space="0" w:color="auto"/>
        <w:bottom w:val="none" w:sz="0" w:space="0" w:color="auto"/>
        <w:right w:val="none" w:sz="0" w:space="0" w:color="auto"/>
      </w:divBdr>
    </w:div>
    <w:div w:id="1749424673">
      <w:bodyDiv w:val="1"/>
      <w:marLeft w:val="0"/>
      <w:marRight w:val="0"/>
      <w:marTop w:val="0"/>
      <w:marBottom w:val="0"/>
      <w:divBdr>
        <w:top w:val="none" w:sz="0" w:space="0" w:color="auto"/>
        <w:left w:val="none" w:sz="0" w:space="0" w:color="auto"/>
        <w:bottom w:val="none" w:sz="0" w:space="0" w:color="auto"/>
        <w:right w:val="none" w:sz="0" w:space="0" w:color="auto"/>
      </w:divBdr>
    </w:div>
    <w:div w:id="1751854566">
      <w:bodyDiv w:val="1"/>
      <w:marLeft w:val="0"/>
      <w:marRight w:val="0"/>
      <w:marTop w:val="0"/>
      <w:marBottom w:val="0"/>
      <w:divBdr>
        <w:top w:val="none" w:sz="0" w:space="0" w:color="auto"/>
        <w:left w:val="none" w:sz="0" w:space="0" w:color="auto"/>
        <w:bottom w:val="none" w:sz="0" w:space="0" w:color="auto"/>
        <w:right w:val="none" w:sz="0" w:space="0" w:color="auto"/>
      </w:divBdr>
    </w:div>
    <w:div w:id="1769110334">
      <w:bodyDiv w:val="1"/>
      <w:marLeft w:val="0"/>
      <w:marRight w:val="0"/>
      <w:marTop w:val="0"/>
      <w:marBottom w:val="0"/>
      <w:divBdr>
        <w:top w:val="none" w:sz="0" w:space="0" w:color="auto"/>
        <w:left w:val="none" w:sz="0" w:space="0" w:color="auto"/>
        <w:bottom w:val="none" w:sz="0" w:space="0" w:color="auto"/>
        <w:right w:val="none" w:sz="0" w:space="0" w:color="auto"/>
      </w:divBdr>
    </w:div>
    <w:div w:id="1830513997">
      <w:bodyDiv w:val="1"/>
      <w:marLeft w:val="0"/>
      <w:marRight w:val="0"/>
      <w:marTop w:val="0"/>
      <w:marBottom w:val="0"/>
      <w:divBdr>
        <w:top w:val="none" w:sz="0" w:space="0" w:color="auto"/>
        <w:left w:val="none" w:sz="0" w:space="0" w:color="auto"/>
        <w:bottom w:val="none" w:sz="0" w:space="0" w:color="auto"/>
        <w:right w:val="none" w:sz="0" w:space="0" w:color="auto"/>
      </w:divBdr>
    </w:div>
    <w:div w:id="1834946916">
      <w:bodyDiv w:val="1"/>
      <w:marLeft w:val="0"/>
      <w:marRight w:val="0"/>
      <w:marTop w:val="0"/>
      <w:marBottom w:val="0"/>
      <w:divBdr>
        <w:top w:val="none" w:sz="0" w:space="0" w:color="auto"/>
        <w:left w:val="none" w:sz="0" w:space="0" w:color="auto"/>
        <w:bottom w:val="none" w:sz="0" w:space="0" w:color="auto"/>
        <w:right w:val="none" w:sz="0" w:space="0" w:color="auto"/>
      </w:divBdr>
    </w:div>
    <w:div w:id="1886214020">
      <w:bodyDiv w:val="1"/>
      <w:marLeft w:val="0"/>
      <w:marRight w:val="0"/>
      <w:marTop w:val="0"/>
      <w:marBottom w:val="0"/>
      <w:divBdr>
        <w:top w:val="none" w:sz="0" w:space="0" w:color="auto"/>
        <w:left w:val="none" w:sz="0" w:space="0" w:color="auto"/>
        <w:bottom w:val="none" w:sz="0" w:space="0" w:color="auto"/>
        <w:right w:val="none" w:sz="0" w:space="0" w:color="auto"/>
      </w:divBdr>
    </w:div>
    <w:div w:id="1891307482">
      <w:bodyDiv w:val="1"/>
      <w:marLeft w:val="0"/>
      <w:marRight w:val="0"/>
      <w:marTop w:val="0"/>
      <w:marBottom w:val="0"/>
      <w:divBdr>
        <w:top w:val="none" w:sz="0" w:space="0" w:color="auto"/>
        <w:left w:val="none" w:sz="0" w:space="0" w:color="auto"/>
        <w:bottom w:val="none" w:sz="0" w:space="0" w:color="auto"/>
        <w:right w:val="none" w:sz="0" w:space="0" w:color="auto"/>
      </w:divBdr>
    </w:div>
    <w:div w:id="1894387783">
      <w:bodyDiv w:val="1"/>
      <w:marLeft w:val="0"/>
      <w:marRight w:val="0"/>
      <w:marTop w:val="0"/>
      <w:marBottom w:val="0"/>
      <w:divBdr>
        <w:top w:val="none" w:sz="0" w:space="0" w:color="auto"/>
        <w:left w:val="none" w:sz="0" w:space="0" w:color="auto"/>
        <w:bottom w:val="none" w:sz="0" w:space="0" w:color="auto"/>
        <w:right w:val="none" w:sz="0" w:space="0" w:color="auto"/>
      </w:divBdr>
    </w:div>
    <w:div w:id="1923567606">
      <w:bodyDiv w:val="1"/>
      <w:marLeft w:val="0"/>
      <w:marRight w:val="0"/>
      <w:marTop w:val="0"/>
      <w:marBottom w:val="0"/>
      <w:divBdr>
        <w:top w:val="none" w:sz="0" w:space="0" w:color="auto"/>
        <w:left w:val="none" w:sz="0" w:space="0" w:color="auto"/>
        <w:bottom w:val="none" w:sz="0" w:space="0" w:color="auto"/>
        <w:right w:val="none" w:sz="0" w:space="0" w:color="auto"/>
      </w:divBdr>
    </w:div>
    <w:div w:id="1926570280">
      <w:bodyDiv w:val="1"/>
      <w:marLeft w:val="0"/>
      <w:marRight w:val="0"/>
      <w:marTop w:val="0"/>
      <w:marBottom w:val="0"/>
      <w:divBdr>
        <w:top w:val="none" w:sz="0" w:space="0" w:color="auto"/>
        <w:left w:val="none" w:sz="0" w:space="0" w:color="auto"/>
        <w:bottom w:val="none" w:sz="0" w:space="0" w:color="auto"/>
        <w:right w:val="none" w:sz="0" w:space="0" w:color="auto"/>
      </w:divBdr>
    </w:div>
    <w:div w:id="1952085996">
      <w:bodyDiv w:val="1"/>
      <w:marLeft w:val="0"/>
      <w:marRight w:val="0"/>
      <w:marTop w:val="0"/>
      <w:marBottom w:val="0"/>
      <w:divBdr>
        <w:top w:val="none" w:sz="0" w:space="0" w:color="auto"/>
        <w:left w:val="none" w:sz="0" w:space="0" w:color="auto"/>
        <w:bottom w:val="none" w:sz="0" w:space="0" w:color="auto"/>
        <w:right w:val="none" w:sz="0" w:space="0" w:color="auto"/>
      </w:divBdr>
    </w:div>
    <w:div w:id="1956521840">
      <w:bodyDiv w:val="1"/>
      <w:marLeft w:val="0"/>
      <w:marRight w:val="0"/>
      <w:marTop w:val="0"/>
      <w:marBottom w:val="0"/>
      <w:divBdr>
        <w:top w:val="none" w:sz="0" w:space="0" w:color="auto"/>
        <w:left w:val="none" w:sz="0" w:space="0" w:color="auto"/>
        <w:bottom w:val="none" w:sz="0" w:space="0" w:color="auto"/>
        <w:right w:val="none" w:sz="0" w:space="0" w:color="auto"/>
      </w:divBdr>
    </w:div>
    <w:div w:id="2016372672">
      <w:bodyDiv w:val="1"/>
      <w:marLeft w:val="0"/>
      <w:marRight w:val="0"/>
      <w:marTop w:val="0"/>
      <w:marBottom w:val="0"/>
      <w:divBdr>
        <w:top w:val="none" w:sz="0" w:space="0" w:color="auto"/>
        <w:left w:val="none" w:sz="0" w:space="0" w:color="auto"/>
        <w:bottom w:val="none" w:sz="0" w:space="0" w:color="auto"/>
        <w:right w:val="none" w:sz="0" w:space="0" w:color="auto"/>
      </w:divBdr>
    </w:div>
    <w:div w:id="2019111308">
      <w:bodyDiv w:val="1"/>
      <w:marLeft w:val="0"/>
      <w:marRight w:val="0"/>
      <w:marTop w:val="0"/>
      <w:marBottom w:val="0"/>
      <w:divBdr>
        <w:top w:val="none" w:sz="0" w:space="0" w:color="auto"/>
        <w:left w:val="none" w:sz="0" w:space="0" w:color="auto"/>
        <w:bottom w:val="none" w:sz="0" w:space="0" w:color="auto"/>
        <w:right w:val="none" w:sz="0" w:space="0" w:color="auto"/>
      </w:divBdr>
    </w:div>
    <w:div w:id="2024934512">
      <w:bodyDiv w:val="1"/>
      <w:marLeft w:val="0"/>
      <w:marRight w:val="0"/>
      <w:marTop w:val="0"/>
      <w:marBottom w:val="0"/>
      <w:divBdr>
        <w:top w:val="none" w:sz="0" w:space="0" w:color="auto"/>
        <w:left w:val="none" w:sz="0" w:space="0" w:color="auto"/>
        <w:bottom w:val="none" w:sz="0" w:space="0" w:color="auto"/>
        <w:right w:val="none" w:sz="0" w:space="0" w:color="auto"/>
      </w:divBdr>
      <w:divsChild>
        <w:div w:id="79764573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034762945">
      <w:bodyDiv w:val="1"/>
      <w:marLeft w:val="0"/>
      <w:marRight w:val="0"/>
      <w:marTop w:val="0"/>
      <w:marBottom w:val="0"/>
      <w:divBdr>
        <w:top w:val="none" w:sz="0" w:space="0" w:color="auto"/>
        <w:left w:val="none" w:sz="0" w:space="0" w:color="auto"/>
        <w:bottom w:val="none" w:sz="0" w:space="0" w:color="auto"/>
        <w:right w:val="none" w:sz="0" w:space="0" w:color="auto"/>
      </w:divBdr>
    </w:div>
    <w:div w:id="2039043331">
      <w:bodyDiv w:val="1"/>
      <w:marLeft w:val="0"/>
      <w:marRight w:val="0"/>
      <w:marTop w:val="0"/>
      <w:marBottom w:val="0"/>
      <w:divBdr>
        <w:top w:val="none" w:sz="0" w:space="0" w:color="auto"/>
        <w:left w:val="none" w:sz="0" w:space="0" w:color="auto"/>
        <w:bottom w:val="none" w:sz="0" w:space="0" w:color="auto"/>
        <w:right w:val="none" w:sz="0" w:space="0" w:color="auto"/>
      </w:divBdr>
    </w:div>
    <w:div w:id="2040737774">
      <w:bodyDiv w:val="1"/>
      <w:marLeft w:val="0"/>
      <w:marRight w:val="0"/>
      <w:marTop w:val="0"/>
      <w:marBottom w:val="0"/>
      <w:divBdr>
        <w:top w:val="none" w:sz="0" w:space="0" w:color="auto"/>
        <w:left w:val="none" w:sz="0" w:space="0" w:color="auto"/>
        <w:bottom w:val="none" w:sz="0" w:space="0" w:color="auto"/>
        <w:right w:val="none" w:sz="0" w:space="0" w:color="auto"/>
      </w:divBdr>
    </w:div>
    <w:div w:id="2041318579">
      <w:bodyDiv w:val="1"/>
      <w:marLeft w:val="0"/>
      <w:marRight w:val="0"/>
      <w:marTop w:val="0"/>
      <w:marBottom w:val="0"/>
      <w:divBdr>
        <w:top w:val="none" w:sz="0" w:space="0" w:color="auto"/>
        <w:left w:val="none" w:sz="0" w:space="0" w:color="auto"/>
        <w:bottom w:val="none" w:sz="0" w:space="0" w:color="auto"/>
        <w:right w:val="none" w:sz="0" w:space="0" w:color="auto"/>
      </w:divBdr>
    </w:div>
    <w:div w:id="2077433584">
      <w:bodyDiv w:val="1"/>
      <w:marLeft w:val="0"/>
      <w:marRight w:val="0"/>
      <w:marTop w:val="0"/>
      <w:marBottom w:val="0"/>
      <w:divBdr>
        <w:top w:val="none" w:sz="0" w:space="0" w:color="auto"/>
        <w:left w:val="none" w:sz="0" w:space="0" w:color="auto"/>
        <w:bottom w:val="none" w:sz="0" w:space="0" w:color="auto"/>
        <w:right w:val="none" w:sz="0" w:space="0" w:color="auto"/>
      </w:divBdr>
    </w:div>
    <w:div w:id="2082562870">
      <w:bodyDiv w:val="1"/>
      <w:marLeft w:val="0"/>
      <w:marRight w:val="0"/>
      <w:marTop w:val="0"/>
      <w:marBottom w:val="0"/>
      <w:divBdr>
        <w:top w:val="none" w:sz="0" w:space="0" w:color="auto"/>
        <w:left w:val="none" w:sz="0" w:space="0" w:color="auto"/>
        <w:bottom w:val="none" w:sz="0" w:space="0" w:color="auto"/>
        <w:right w:val="none" w:sz="0" w:space="0" w:color="auto"/>
      </w:divBdr>
    </w:div>
    <w:div w:id="2102528180">
      <w:bodyDiv w:val="1"/>
      <w:marLeft w:val="0"/>
      <w:marRight w:val="0"/>
      <w:marTop w:val="0"/>
      <w:marBottom w:val="0"/>
      <w:divBdr>
        <w:top w:val="none" w:sz="0" w:space="0" w:color="auto"/>
        <w:left w:val="none" w:sz="0" w:space="0" w:color="auto"/>
        <w:bottom w:val="none" w:sz="0" w:space="0" w:color="auto"/>
        <w:right w:val="none" w:sz="0" w:space="0" w:color="auto"/>
      </w:divBdr>
    </w:div>
    <w:div w:id="2112578197">
      <w:bodyDiv w:val="1"/>
      <w:marLeft w:val="0"/>
      <w:marRight w:val="0"/>
      <w:marTop w:val="0"/>
      <w:marBottom w:val="0"/>
      <w:divBdr>
        <w:top w:val="none" w:sz="0" w:space="0" w:color="auto"/>
        <w:left w:val="none" w:sz="0" w:space="0" w:color="auto"/>
        <w:bottom w:val="none" w:sz="0" w:space="0" w:color="auto"/>
        <w:right w:val="none" w:sz="0" w:space="0" w:color="auto"/>
      </w:divBdr>
    </w:div>
    <w:div w:id="2113698649">
      <w:bodyDiv w:val="1"/>
      <w:marLeft w:val="0"/>
      <w:marRight w:val="0"/>
      <w:marTop w:val="0"/>
      <w:marBottom w:val="0"/>
      <w:divBdr>
        <w:top w:val="none" w:sz="0" w:space="0" w:color="auto"/>
        <w:left w:val="none" w:sz="0" w:space="0" w:color="auto"/>
        <w:bottom w:val="none" w:sz="0" w:space="0" w:color="auto"/>
        <w:right w:val="none" w:sz="0" w:space="0" w:color="auto"/>
      </w:divBdr>
    </w:div>
    <w:div w:id="2130466735">
      <w:bodyDiv w:val="1"/>
      <w:marLeft w:val="0"/>
      <w:marRight w:val="0"/>
      <w:marTop w:val="0"/>
      <w:marBottom w:val="0"/>
      <w:divBdr>
        <w:top w:val="none" w:sz="0" w:space="0" w:color="auto"/>
        <w:left w:val="none" w:sz="0" w:space="0" w:color="auto"/>
        <w:bottom w:val="none" w:sz="0" w:space="0" w:color="auto"/>
        <w:right w:val="none" w:sz="0" w:space="0" w:color="auto"/>
      </w:divBdr>
    </w:div>
    <w:div w:id="214388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bi.org.in/Scripts/BS_ViewMasDirections.aspx?id=12163" TargetMode="External"/><Relationship Id="rId21" Type="http://schemas.openxmlformats.org/officeDocument/2006/relationships/hyperlink" Target="https://www.rbi.org.in/Scripts/NotificationUser.aspx?Id=11441&amp;Mode=0" TargetMode="External"/><Relationship Id="rId42" Type="http://schemas.openxmlformats.org/officeDocument/2006/relationships/hyperlink" Target="https://rbi.org.in/Scripts/BS_ViewMasDirections.aspx?id=11510" TargetMode="External"/><Relationship Id="rId63" Type="http://schemas.openxmlformats.org/officeDocument/2006/relationships/hyperlink" Target="https://m.rbi.org.in/scripts/FS_Notification.aspx?Id=12374&amp;fn=6&amp;Mode=0" TargetMode="External"/><Relationship Id="rId84" Type="http://schemas.openxmlformats.org/officeDocument/2006/relationships/hyperlink" Target="https://rbi.org.in/Scripts/BS_CircularIndexDisplay.aspx?Id=12382" TargetMode="External"/><Relationship Id="rId138" Type="http://schemas.openxmlformats.org/officeDocument/2006/relationships/hyperlink" Target="https://www.rbi.org.in/scripts/FS_Notification.aspx?Id=12401&amp;fn=2&amp;Mode=0" TargetMode="External"/><Relationship Id="rId159" Type="http://schemas.openxmlformats.org/officeDocument/2006/relationships/hyperlink" Target="https://m.rbi.org.in/Scripts/NotificationUser.aspx?Id=11601&amp;Mode=0" TargetMode="External"/><Relationship Id="rId170" Type="http://schemas.openxmlformats.org/officeDocument/2006/relationships/hyperlink" Target="https://m.rbi.org.in/scripts/FS_Notification.aspx?Id=12416&amp;fn=2755&amp;Mode=0" TargetMode="External"/><Relationship Id="rId191" Type="http://schemas.openxmlformats.org/officeDocument/2006/relationships/hyperlink" Target="https://m.rbi.org.in/scripts/BS_CircularIndexDisplay.aspx?Id=12425" TargetMode="External"/><Relationship Id="rId107" Type="http://schemas.openxmlformats.org/officeDocument/2006/relationships/hyperlink" Target="https://rbi.org.in/Scripts/BS_ViewMasDirections.aspx?id=11510" TargetMode="External"/><Relationship Id="rId11" Type="http://schemas.openxmlformats.org/officeDocument/2006/relationships/hyperlink" Target="https://www.rbi.org.in/Scripts/NotificationUser.aspx?Id=12348&amp;Mode=0" TargetMode="External"/><Relationship Id="rId32" Type="http://schemas.openxmlformats.org/officeDocument/2006/relationships/hyperlink" Target="https://www.rbi.org.in/scripts/NotificationUser.aspx?Id=12361&amp;Mode=0" TargetMode="External"/><Relationship Id="rId53" Type="http://schemas.openxmlformats.org/officeDocument/2006/relationships/hyperlink" Target="https://www.rbi.org.in/Scripts/BS_PressReleaseDisplay.aspx?prid=32614" TargetMode="External"/><Relationship Id="rId74" Type="http://schemas.openxmlformats.org/officeDocument/2006/relationships/hyperlink" Target="https://rbidocs.rbi.org.in/rdocs/content/pdfs/GazetteRules23082022.pdf" TargetMode="External"/><Relationship Id="rId128" Type="http://schemas.openxmlformats.org/officeDocument/2006/relationships/hyperlink" Target="https://m.rbi.org.in/Scripts/BS_CircularIndexDisplay.aspx?Id=12399" TargetMode="External"/><Relationship Id="rId149" Type="http://schemas.openxmlformats.org/officeDocument/2006/relationships/hyperlink" Target="https://www.rbi.org.in/Scripts/BS_ViewMasCirculardetails.aspx?id=12274" TargetMode="External"/><Relationship Id="rId5" Type="http://schemas.openxmlformats.org/officeDocument/2006/relationships/hyperlink" Target="https://www.rbi.org.in/Scripts/NotificationUser.aspx?Id=5671&amp;Mode=0" TargetMode="External"/><Relationship Id="rId95" Type="http://schemas.openxmlformats.org/officeDocument/2006/relationships/hyperlink" Target="https://rbi.org.in/Scripts/BS_ViewMasDirections.aspx?id=10296" TargetMode="External"/><Relationship Id="rId160" Type="http://schemas.openxmlformats.org/officeDocument/2006/relationships/hyperlink" Target="https://m.rbi.org.in/Scripts/NotificationUser.aspx?Id=11777&amp;Mode=0" TargetMode="External"/><Relationship Id="rId181" Type="http://schemas.openxmlformats.org/officeDocument/2006/relationships/hyperlink" Target="https://www.rbi.org.in/scripts/FS_Notification.aspx?Id=12422&amp;fn=2&amp;Mode=0" TargetMode="External"/><Relationship Id="rId22" Type="http://schemas.openxmlformats.org/officeDocument/2006/relationships/hyperlink" Target="https://www.rbi.org.in/Scripts/BS_ViewMasDirections.aspx?id=10485" TargetMode="External"/><Relationship Id="rId43" Type="http://schemas.openxmlformats.org/officeDocument/2006/relationships/hyperlink" Target="https://www.rbi.org.in/Scripts/BS_PressReleaseDisplay.aspx?prid=53979" TargetMode="External"/><Relationship Id="rId64" Type="http://schemas.openxmlformats.org/officeDocument/2006/relationships/hyperlink" Target="https://www.rbi.org.in/scripts/NotificationUser.aspx?Id=12375&amp;Mode=0" TargetMode="External"/><Relationship Id="rId118" Type="http://schemas.openxmlformats.org/officeDocument/2006/relationships/hyperlink" Target="https://www.rbi.org.in/Scripts/BS_ViewMasDirections.aspx?id=10567" TargetMode="External"/><Relationship Id="rId139" Type="http://schemas.openxmlformats.org/officeDocument/2006/relationships/hyperlink" Target="https://www.rbi.org.in/scripts/FS_Notification.aspx?Id=12401&amp;fn=2&amp;Mode=0" TargetMode="External"/><Relationship Id="rId85" Type="http://schemas.openxmlformats.org/officeDocument/2006/relationships/hyperlink" Target="https://www.rbi.org.in/Scripts/NotificationUser.aspx?Id=10233&amp;Mode=0" TargetMode="External"/><Relationship Id="rId150" Type="http://schemas.openxmlformats.org/officeDocument/2006/relationships/hyperlink" Target="https://www.rbi.org.in/Scripts/NotificationUser.aspx?Id=12408&amp;Mode=0" TargetMode="External"/><Relationship Id="rId171" Type="http://schemas.openxmlformats.org/officeDocument/2006/relationships/hyperlink" Target="https://m.rbi.org.in/scripts/FS_Notification.aspx?Id=12416&amp;fn=2755&amp;Mode=0" TargetMode="External"/><Relationship Id="rId192" Type="http://schemas.openxmlformats.org/officeDocument/2006/relationships/hyperlink" Target="https://rbi.org.in/Scripts/BS_ViewMasDirections.aspx?id=12158" TargetMode="External"/><Relationship Id="rId12" Type="http://schemas.openxmlformats.org/officeDocument/2006/relationships/hyperlink" Target="https://www.rbi.org.in/Scripts/NotificationUser.aspx?Id=12348&amp;Mode=0" TargetMode="External"/><Relationship Id="rId33" Type="http://schemas.openxmlformats.org/officeDocument/2006/relationships/hyperlink" Target="https://www.rbi.org.in/Scripts/NotificationUser.aspx?Id=11822&amp;Mode=0" TargetMode="External"/><Relationship Id="rId108" Type="http://schemas.openxmlformats.org/officeDocument/2006/relationships/hyperlink" Target="https://www.rbi.org.in/scripts/NotificationUser.aspx?Id=12393&amp;Mode=0" TargetMode="External"/><Relationship Id="rId129" Type="http://schemas.openxmlformats.org/officeDocument/2006/relationships/hyperlink" Target="https://m.rbi.org.in/Scripts/BS_CircularIndexDisplay.aspx?Id=12399" TargetMode="External"/><Relationship Id="rId54" Type="http://schemas.openxmlformats.org/officeDocument/2006/relationships/hyperlink" Target="https://www.rbi.org.in/Scripts/BS_PressReleaseDisplay.aspx?prid=48807" TargetMode="External"/><Relationship Id="rId75" Type="http://schemas.openxmlformats.org/officeDocument/2006/relationships/hyperlink" Target="https://www.rbi.org.in/scripts/NotificationUser.aspx?Id=12380&amp;Mode=0" TargetMode="External"/><Relationship Id="rId96" Type="http://schemas.openxmlformats.org/officeDocument/2006/relationships/hyperlink" Target="https://rbi.org.in/Scripts/BS_ViewMasDirections.aspx?id=10394" TargetMode="External"/><Relationship Id="rId140" Type="http://schemas.openxmlformats.org/officeDocument/2006/relationships/hyperlink" Target="https://www.rbi.org.in/scripts/FS_Notification.aspx?Id=12401&amp;fn=2&amp;Mode=0" TargetMode="External"/><Relationship Id="rId161" Type="http://schemas.openxmlformats.org/officeDocument/2006/relationships/hyperlink" Target="https://m.rbi.org.in/Scripts/NotificationUser.aspx?Id=11601&amp;Mode=0" TargetMode="External"/><Relationship Id="rId182" Type="http://schemas.openxmlformats.org/officeDocument/2006/relationships/hyperlink" Target="https://m.rbi.org.in/Scripts/BS_PressReleaseDisplay.aspx?prid=54819" TargetMode="External"/><Relationship Id="rId6" Type="http://schemas.openxmlformats.org/officeDocument/2006/relationships/hyperlink" Target="https://www.rbi.org.in/Scripts/NotificationUser.aspx?Id=12347&amp;Mode=0" TargetMode="External"/><Relationship Id="rId23" Type="http://schemas.openxmlformats.org/officeDocument/2006/relationships/hyperlink" Target="https://www.rbi.org.in/Scripts/BS_PressReleaseDisplay.aspx?prid=53979" TargetMode="External"/><Relationship Id="rId119" Type="http://schemas.openxmlformats.org/officeDocument/2006/relationships/hyperlink" Target="https://www.rbi.org.in/scripts/NotificationUser.aspx?Id=12397&amp;Mode=0" TargetMode="External"/><Relationship Id="rId44" Type="http://schemas.openxmlformats.org/officeDocument/2006/relationships/hyperlink" Target="https://rbidocs.rbi.org.in/rdocs/content/pdfs/GN3RFEMA01082022.pdf" TargetMode="External"/><Relationship Id="rId65" Type="http://schemas.openxmlformats.org/officeDocument/2006/relationships/hyperlink" Target="https://www.rbi.org.in/Scripts/NotificationUser.aspx?Id=12048&amp;Mode=0" TargetMode="External"/><Relationship Id="rId86" Type="http://schemas.openxmlformats.org/officeDocument/2006/relationships/hyperlink" Target="https://www.rbi.org.in/Scripts/NotificationUser.aspx?Id=11560&amp;Mode=0" TargetMode="External"/><Relationship Id="rId130" Type="http://schemas.openxmlformats.org/officeDocument/2006/relationships/hyperlink" Target="https://m.rbi.org.in/Scripts/BS_CircularIndexDisplay.aspx?Id=12399" TargetMode="External"/><Relationship Id="rId151" Type="http://schemas.openxmlformats.org/officeDocument/2006/relationships/hyperlink" Target="https://www.rbi.org.in/Scripts/NotificationUser.aspx?Id=12302&amp;Mode=0" TargetMode="External"/><Relationship Id="rId172" Type="http://schemas.openxmlformats.org/officeDocument/2006/relationships/hyperlink" Target="https://m.rbi.org.in/Scripts/NotificationUser.aspx?Id=4676&amp;Mode=0" TargetMode="External"/><Relationship Id="rId193" Type="http://schemas.openxmlformats.org/officeDocument/2006/relationships/hyperlink" Target="https://rbi.org.in/Scripts/BS_ViewMasDirections.aspx?id=12158" TargetMode="External"/><Relationship Id="rId13" Type="http://schemas.openxmlformats.org/officeDocument/2006/relationships/hyperlink" Target="https://www.rbi.org.in/Scripts/BS_ViewMasDirections.aspx?id=10296" TargetMode="External"/><Relationship Id="rId109" Type="http://schemas.openxmlformats.org/officeDocument/2006/relationships/hyperlink" Target="https://rbi.org.in/Scripts/BS_PressReleaseDisplay.aspx?prid=54149" TargetMode="External"/><Relationship Id="rId34" Type="http://schemas.openxmlformats.org/officeDocument/2006/relationships/hyperlink" Target="https://www.rbi.org.in/Scripts/NotificationUser.aspx?Id=12050&amp;Mode=0" TargetMode="External"/><Relationship Id="rId55" Type="http://schemas.openxmlformats.org/officeDocument/2006/relationships/hyperlink" Target="https://www.rbi.org.in/scripts/NotificationUser.aspx?Id=12373&amp;Mode=0" TargetMode="External"/><Relationship Id="rId76" Type="http://schemas.openxmlformats.org/officeDocument/2006/relationships/hyperlink" Target="https://rbidocs.rbi.org.in/rdocs/content/pdfs/GazetteRules23082022.pdf" TargetMode="External"/><Relationship Id="rId97" Type="http://schemas.openxmlformats.org/officeDocument/2006/relationships/hyperlink" Target="https://rbi.org.in/Scripts/BS_ViewMasDirections.aspx?id=10296" TargetMode="External"/><Relationship Id="rId120" Type="http://schemas.openxmlformats.org/officeDocument/2006/relationships/hyperlink" Target="https://m.rbi.org.in/Scripts/NotificationUser.aspx?Id=12397&amp;Mode=0" TargetMode="External"/><Relationship Id="rId141" Type="http://schemas.openxmlformats.org/officeDocument/2006/relationships/hyperlink" Target="https://rbi.org.in/Scripts/NotificationUser.aspx?Id=12402&amp;Mode=0" TargetMode="External"/><Relationship Id="rId7" Type="http://schemas.openxmlformats.org/officeDocument/2006/relationships/hyperlink" Target="https://www.rbi.org.in/Scripts/NotificationUser.aspx?Id=12347&amp;Mode=0" TargetMode="External"/><Relationship Id="rId162" Type="http://schemas.openxmlformats.org/officeDocument/2006/relationships/hyperlink" Target="https://m.rbi.org.in/scripts/FS_Notification.aspx?Id=12414&amp;fn=6&amp;Mode=0" TargetMode="External"/><Relationship Id="rId183" Type="http://schemas.openxmlformats.org/officeDocument/2006/relationships/hyperlink" Target="https://m.rbi.org.in/Scripts/BS_PressReleaseDisplay.aspx?prid=54818" TargetMode="External"/><Relationship Id="rId2" Type="http://schemas.openxmlformats.org/officeDocument/2006/relationships/styles" Target="styles.xml"/><Relationship Id="rId29" Type="http://schemas.openxmlformats.org/officeDocument/2006/relationships/hyperlink" Target="https://www.rbi.org.in/scripts/NotificationUser.aspx?Id=12360&amp;Mode=0" TargetMode="External"/><Relationship Id="rId24" Type="http://schemas.openxmlformats.org/officeDocument/2006/relationships/hyperlink" Target="https://www.rbi.org.in/Scripts/BS_ViewMasDirections.aspx?id=10485" TargetMode="External"/><Relationship Id="rId40" Type="http://schemas.openxmlformats.org/officeDocument/2006/relationships/hyperlink" Target="https://www.rbi.org.in/scripts/NotificationUser.aspx?Id=12365&amp;Mode=0" TargetMode="External"/><Relationship Id="rId45" Type="http://schemas.openxmlformats.org/officeDocument/2006/relationships/hyperlink" Target="https://www.rbi.org.in/Scripts/NotificationUser.aspx?Id=12366&amp;Mode=0" TargetMode="External"/><Relationship Id="rId66" Type="http://schemas.openxmlformats.org/officeDocument/2006/relationships/hyperlink" Target="https://www.rbi.org.in/Scripts/NotificationUser.aspx?Id=12262&amp;Mode=0" TargetMode="External"/><Relationship Id="rId87" Type="http://schemas.openxmlformats.org/officeDocument/2006/relationships/hyperlink" Target="https://www.rbi.org.in/scripts/NotificationUser.aspx?Id=12383&amp;Mode=0" TargetMode="External"/><Relationship Id="rId110" Type="http://schemas.openxmlformats.org/officeDocument/2006/relationships/hyperlink" Target="https://www.rbi.org.in/Scripts/NotificationUser.aspx?Id=12395&amp;Mode=0" TargetMode="External"/><Relationship Id="rId115" Type="http://schemas.openxmlformats.org/officeDocument/2006/relationships/hyperlink" Target="https://www.rbi.org.in/scripts/NotificationUser.aspx?Id=12397&amp;Mode=0" TargetMode="External"/><Relationship Id="rId131" Type="http://schemas.openxmlformats.org/officeDocument/2006/relationships/hyperlink" Target="https://www.rbi.org.in/Scripts/NotificationUser.aspx?Id=12179&amp;Mode=0" TargetMode="External"/><Relationship Id="rId136" Type="http://schemas.openxmlformats.org/officeDocument/2006/relationships/hyperlink" Target="https://www.rbi.org.in/Scripts/NotificationUser.aspx?Id=12400&amp;Mode=0" TargetMode="External"/><Relationship Id="rId157" Type="http://schemas.openxmlformats.org/officeDocument/2006/relationships/hyperlink" Target="https://www.rbi.org.in/Scripts/BS_PressReleaseDisplay.aspx?prid=53539" TargetMode="External"/><Relationship Id="rId178" Type="http://schemas.openxmlformats.org/officeDocument/2006/relationships/hyperlink" Target="https://rbi.org.in/Scripts/BS_PressReleaseDisplay.aspx?prid=54819" TargetMode="External"/><Relationship Id="rId61" Type="http://schemas.openxmlformats.org/officeDocument/2006/relationships/hyperlink" Target="https://m.rbi.org.in/Scripts/NotificationUser.aspx?Id=12229&amp;Mode=0" TargetMode="External"/><Relationship Id="rId82" Type="http://schemas.openxmlformats.org/officeDocument/2006/relationships/hyperlink" Target="https://rbi.org.in/Scripts/BS_CircularIndexDisplay.aspx?Id=12382" TargetMode="External"/><Relationship Id="rId152" Type="http://schemas.openxmlformats.org/officeDocument/2006/relationships/hyperlink" Target="https://www.rbi.org.in/scripts/NotificationUser.aspx?Id=12411&amp;Mode=0" TargetMode="External"/><Relationship Id="rId173" Type="http://schemas.openxmlformats.org/officeDocument/2006/relationships/hyperlink" Target="https://m.rbi.org.in/Scripts/NotificationUser.aspx?Id=8874&amp;Mode=0" TargetMode="External"/><Relationship Id="rId194" Type="http://schemas.openxmlformats.org/officeDocument/2006/relationships/hyperlink" Target="https://rbi.org.in/Scripts/NotificationUser.aspx?Id=12426&amp;Mode=0" TargetMode="External"/><Relationship Id="rId199" Type="http://schemas.openxmlformats.org/officeDocument/2006/relationships/hyperlink" Target="https://rbi.org.in/Scripts/NotificationUser.aspx?Id=12416&amp;Mode=0" TargetMode="External"/><Relationship Id="rId203" Type="http://schemas.openxmlformats.org/officeDocument/2006/relationships/theme" Target="theme/theme1.xml"/><Relationship Id="rId19" Type="http://schemas.openxmlformats.org/officeDocument/2006/relationships/hyperlink" Target="https://www.rbi.org.in/Scripts/NotificationUser.aspx?Id=11303&amp;Mode=0" TargetMode="External"/><Relationship Id="rId14" Type="http://schemas.openxmlformats.org/officeDocument/2006/relationships/hyperlink" Target="https://rbi.org.in/Scripts/BS_ViewMasDirections.aspx?id=10394" TargetMode="External"/><Relationship Id="rId30" Type="http://schemas.openxmlformats.org/officeDocument/2006/relationships/hyperlink" Target="https://www.rbi.org.in/scripts/NotificationUser.aspx?Id=12360&amp;Mode=0" TargetMode="External"/><Relationship Id="rId35" Type="http://schemas.openxmlformats.org/officeDocument/2006/relationships/hyperlink" Target="https://www.rbi.org.in/Scripts/NotificationUser.aspx?Id=12159&amp;Mode=0" TargetMode="External"/><Relationship Id="rId56" Type="http://schemas.openxmlformats.org/officeDocument/2006/relationships/hyperlink" Target="https://www.rbi.org.in/scripts/NotificationUser.aspx?Id=12373&amp;Mode=0" TargetMode="External"/><Relationship Id="rId77" Type="http://schemas.openxmlformats.org/officeDocument/2006/relationships/hyperlink" Target="https://rbi.org.in/Scripts/NotificationUser.aspx?Id=12380&amp;Mode=0" TargetMode="External"/><Relationship Id="rId100" Type="http://schemas.openxmlformats.org/officeDocument/2006/relationships/hyperlink" Target="https://rbi.org.in/Scripts/NotificationUser.aspx?Id=12388&amp;Mode=0" TargetMode="External"/><Relationship Id="rId105" Type="http://schemas.openxmlformats.org/officeDocument/2006/relationships/hyperlink" Target="https://rbi.org.in/Scripts/NotificationUser.aspx?Id=12389&amp;Mode=0" TargetMode="External"/><Relationship Id="rId126" Type="http://schemas.openxmlformats.org/officeDocument/2006/relationships/hyperlink" Target="https://m.rbi.org.in/Scripts/BS_PressReleaseDisplay.aspx?prid=51382" TargetMode="External"/><Relationship Id="rId147" Type="http://schemas.openxmlformats.org/officeDocument/2006/relationships/hyperlink" Target="https://www.rbi.org.in/scripts/FS_Notification.aspx?Id=12407&amp;fn=2&amp;Mode=0" TargetMode="External"/><Relationship Id="rId168" Type="http://schemas.openxmlformats.org/officeDocument/2006/relationships/hyperlink" Target="https://m.rbi.org.in/Scripts/BS_PressReleaseDisplay.aspx?prid=52094" TargetMode="External"/><Relationship Id="rId8" Type="http://schemas.openxmlformats.org/officeDocument/2006/relationships/hyperlink" Target="https://www.rbi.org.in/Scripts/BS_ViewMasDirections.aspx?id=12156" TargetMode="External"/><Relationship Id="rId51" Type="http://schemas.openxmlformats.org/officeDocument/2006/relationships/hyperlink" Target="https://rbidocs.rbi.org.in/rdocs/content/pdfs/RBIOS2021_amendments05082022.pdf" TargetMode="External"/><Relationship Id="rId72" Type="http://schemas.openxmlformats.org/officeDocument/2006/relationships/hyperlink" Target="https://rbidocs.rbi.org.in/rdocs/content/pdfs/GazetteRegulations230822.pdf" TargetMode="External"/><Relationship Id="rId93" Type="http://schemas.openxmlformats.org/officeDocument/2006/relationships/hyperlink" Target="https://rbi.org.in/Scripts/NotificationUser.aspx?Id=8832&amp;Mode=0" TargetMode="External"/><Relationship Id="rId98" Type="http://schemas.openxmlformats.org/officeDocument/2006/relationships/hyperlink" Target="https://rbi.org.in/Scripts/BS_ViewMasDirections.aspx?id=10394" TargetMode="External"/><Relationship Id="rId121" Type="http://schemas.openxmlformats.org/officeDocument/2006/relationships/hyperlink" Target="https://m.rbi.org.in/Scripts/BS_ViewMasCirculardetails.aspx?id=12278" TargetMode="External"/><Relationship Id="rId142" Type="http://schemas.openxmlformats.org/officeDocument/2006/relationships/hyperlink" Target="https://rbi.org.in/Scripts/NotificationUser.aspx?Id=12402&amp;Mode=0" TargetMode="External"/><Relationship Id="rId163" Type="http://schemas.openxmlformats.org/officeDocument/2006/relationships/hyperlink" Target="https://rbi.org.in/Scripts/NotificationUser.aspx?Id=9526&amp;Mode=0" TargetMode="External"/><Relationship Id="rId184" Type="http://schemas.openxmlformats.org/officeDocument/2006/relationships/hyperlink" Target="https://m.rbi.org.in/Scripts/NotificationUser.aspx?Id=11226&amp;Mode=0" TargetMode="External"/><Relationship Id="rId189" Type="http://schemas.openxmlformats.org/officeDocument/2006/relationships/hyperlink" Target="https://www.rbi.org.in/Scripts/BS_ViewMasDirections.aspx?id=12427" TargetMode="External"/><Relationship Id="rId3" Type="http://schemas.openxmlformats.org/officeDocument/2006/relationships/settings" Target="settings.xml"/><Relationship Id="rId25" Type="http://schemas.openxmlformats.org/officeDocument/2006/relationships/hyperlink" Target="https://rbi.org.in/Scripts/BS_ViewMasDirections.aspx?id=11510" TargetMode="External"/><Relationship Id="rId46" Type="http://schemas.openxmlformats.org/officeDocument/2006/relationships/hyperlink" Target="https://m.rbi.org.in/scripts/BS_ViewMasCirculardetails.aspx?id=12367" TargetMode="External"/><Relationship Id="rId67" Type="http://schemas.openxmlformats.org/officeDocument/2006/relationships/hyperlink" Target="https://www.rbi.org.in/Scripts/NotificationUser.aspx?Id=12376&amp;Mode=0" TargetMode="External"/><Relationship Id="rId116" Type="http://schemas.openxmlformats.org/officeDocument/2006/relationships/hyperlink" Target="https://www.rbi.org.in/Scripts/NotificationUser.aspx?Id=11347&amp;Mode=0" TargetMode="External"/><Relationship Id="rId137" Type="http://schemas.openxmlformats.org/officeDocument/2006/relationships/hyperlink" Target="https://www.rbi.org.in/Scripts/BS_ViewMasDirections.aspx?id=12158" TargetMode="External"/><Relationship Id="rId158" Type="http://schemas.openxmlformats.org/officeDocument/2006/relationships/hyperlink" Target="https://www.rbi.org.in/scripts/NotificationUser.aspx?Id=12413&amp;Mode=0" TargetMode="External"/><Relationship Id="rId20" Type="http://schemas.openxmlformats.org/officeDocument/2006/relationships/hyperlink" Target="https://rbi.org.in/scripts/FS_Notification.aspx?Id=12355&amp;fn=6&amp;Mode=0" TargetMode="External"/><Relationship Id="rId41" Type="http://schemas.openxmlformats.org/officeDocument/2006/relationships/hyperlink" Target="https://www.rbi.org.in/scripts/NotificationUser.aspx?Id=12365&amp;Mode=0" TargetMode="External"/><Relationship Id="rId62" Type="http://schemas.openxmlformats.org/officeDocument/2006/relationships/hyperlink" Target="https://m.rbi.org.in/Scripts/NotificationUser.aspx?Id=11602&amp;Mode=0" TargetMode="External"/><Relationship Id="rId83" Type="http://schemas.openxmlformats.org/officeDocument/2006/relationships/hyperlink" Target="https://rbi.org.in/Scripts/BS_CircularIndexDisplay.aspx?Id=12382" TargetMode="External"/><Relationship Id="rId88" Type="http://schemas.openxmlformats.org/officeDocument/2006/relationships/hyperlink" Target="https://m.rbi.org.in/Scripts/BS_ViewMasCirculardetails.aspx?id=12278" TargetMode="External"/><Relationship Id="rId111" Type="http://schemas.openxmlformats.org/officeDocument/2006/relationships/hyperlink" Target="https://www.rbi.org.in/Scripts/NotificationUser.aspx?Id=12395&amp;Mode=0" TargetMode="External"/><Relationship Id="rId132" Type="http://schemas.openxmlformats.org/officeDocument/2006/relationships/hyperlink" Target="https://www.rbi.org.in/Scripts/BS_ViewMasDirections.aspx?id=10586" TargetMode="External"/><Relationship Id="rId153" Type="http://schemas.openxmlformats.org/officeDocument/2006/relationships/hyperlink" Target="https://www.rbi.org.in/Scripts/BS_ViewMasDirections.aspx?id=10598" TargetMode="External"/><Relationship Id="rId174" Type="http://schemas.openxmlformats.org/officeDocument/2006/relationships/hyperlink" Target="https://m.rbi.org.in/scripts/FS_Notification.aspx?Id=12417&amp;fn=14&amp;Mode=0" TargetMode="External"/><Relationship Id="rId179" Type="http://schemas.openxmlformats.org/officeDocument/2006/relationships/hyperlink" Target="https://rbi.org.in/Scripts/BS_PressReleaseDisplay.aspx?prid=54818" TargetMode="External"/><Relationship Id="rId195" Type="http://schemas.openxmlformats.org/officeDocument/2006/relationships/hyperlink" Target="https://m.rbi.org.in/Scripts/BS_PressReleaseDisplay.aspx?prid=47819" TargetMode="External"/><Relationship Id="rId190" Type="http://schemas.openxmlformats.org/officeDocument/2006/relationships/hyperlink" Target="https://m.rbi.org.in/Scripts/NotificationUser.aspx?Id=8968&amp;Mode=0" TargetMode="External"/><Relationship Id="rId15" Type="http://schemas.openxmlformats.org/officeDocument/2006/relationships/hyperlink" Target="https://rbi.org.in/Scripts/NotificationUser.aspx?Id=12350&amp;Mode=0" TargetMode="External"/><Relationship Id="rId36" Type="http://schemas.openxmlformats.org/officeDocument/2006/relationships/hyperlink" Target="https://www.rbi.org.in/Scripts/NotificationUser.aspx?Id=12211&amp;Mode=0" TargetMode="External"/><Relationship Id="rId57" Type="http://schemas.openxmlformats.org/officeDocument/2006/relationships/hyperlink" Target="https://www.rbi.org.in/scripts/NotificationUser.aspx?Id=12373&amp;Mode=0" TargetMode="External"/><Relationship Id="rId106" Type="http://schemas.openxmlformats.org/officeDocument/2006/relationships/hyperlink" Target="https://www.rbi.org.in/Scripts/BS_ViewMasDirections.aspx?id=10202" TargetMode="External"/><Relationship Id="rId127" Type="http://schemas.openxmlformats.org/officeDocument/2006/relationships/hyperlink" Target="https://m.rbi.org.in/Scripts/BS_PressReleaseDisplay.aspx?prid=51381" TargetMode="External"/><Relationship Id="rId10" Type="http://schemas.openxmlformats.org/officeDocument/2006/relationships/hyperlink" Target="https://www.rbi.org.in/Scripts/NotificationUser.aspx?Id=7286&amp;Mode=0" TargetMode="External"/><Relationship Id="rId31" Type="http://schemas.openxmlformats.org/officeDocument/2006/relationships/hyperlink" Target="https://www.rbi.org.in/Scripts/BS_ViewMasCirculardetails.aspx?id=12288" TargetMode="External"/><Relationship Id="rId52" Type="http://schemas.openxmlformats.org/officeDocument/2006/relationships/hyperlink" Target="https://www.rbi.org.in/Scripts/NotificationUser.aspx?Id=12371&amp;Mode=0" TargetMode="External"/><Relationship Id="rId73" Type="http://schemas.openxmlformats.org/officeDocument/2006/relationships/hyperlink" Target="https://rbidocs.rbi.org.in/rdocs/content/pdfs/GazetteRules23082022.pdf" TargetMode="External"/><Relationship Id="rId78" Type="http://schemas.openxmlformats.org/officeDocument/2006/relationships/hyperlink" Target="https://rbi.org.in/Scripts/NotificationUser.aspx?Id=2126&amp;Mode=0" TargetMode="External"/><Relationship Id="rId94" Type="http://schemas.openxmlformats.org/officeDocument/2006/relationships/hyperlink" Target="https://www.rbi.org.in/scripts/NotificationUser.aspx?Id=12386&amp;Mode=0" TargetMode="External"/><Relationship Id="rId99" Type="http://schemas.openxmlformats.org/officeDocument/2006/relationships/hyperlink" Target="https://rbi.org.in/Scripts/NotificationUser.aspx?Id=12388&amp;Mode=0" TargetMode="External"/><Relationship Id="rId101" Type="http://schemas.openxmlformats.org/officeDocument/2006/relationships/hyperlink" Target="https://rbi.org.in/Scripts/NotificationUser.aspx?Id=12389&amp;Mode=0" TargetMode="External"/><Relationship Id="rId122" Type="http://schemas.openxmlformats.org/officeDocument/2006/relationships/hyperlink" Target="https://m.rbi.org.in/Scripts/BS_ViewMasDirections.aspx?id=10567" TargetMode="External"/><Relationship Id="rId143" Type="http://schemas.openxmlformats.org/officeDocument/2006/relationships/hyperlink" Target="https://rbi.org.in/Scripts/NotificationUser.aspx?Id=12402&amp;Mode=0" TargetMode="External"/><Relationship Id="rId148" Type="http://schemas.openxmlformats.org/officeDocument/2006/relationships/hyperlink" Target="https://www.rbi.org.in/scripts/FS_Notification.aspx?Id=12407&amp;fn=2&amp;Mode=0" TargetMode="External"/><Relationship Id="rId164" Type="http://schemas.openxmlformats.org/officeDocument/2006/relationships/hyperlink" Target="https://www.rbi.org.in/Scripts/BS_PressReleaseDisplay.aspx?prid=54059" TargetMode="External"/><Relationship Id="rId169" Type="http://schemas.openxmlformats.org/officeDocument/2006/relationships/hyperlink" Target="https://m.rbi.org.in/Scripts/BS_PressReleaseDisplay.aspx?prid=54059" TargetMode="External"/><Relationship Id="rId185" Type="http://schemas.openxmlformats.org/officeDocument/2006/relationships/hyperlink" Target="https://m.rbi.org.in/Scripts/NotificationUser.aspx?Id=12428&amp;Mode=0" TargetMode="External"/><Relationship Id="rId4" Type="http://schemas.openxmlformats.org/officeDocument/2006/relationships/webSettings" Target="webSettings.xml"/><Relationship Id="rId9" Type="http://schemas.openxmlformats.org/officeDocument/2006/relationships/hyperlink" Target="https://rbi.org.in/Scripts/NotificationUser.aspx?Id=11822&amp;Mode=0" TargetMode="External"/><Relationship Id="rId180" Type="http://schemas.openxmlformats.org/officeDocument/2006/relationships/hyperlink" Target="https://rbi.org.in/Scripts/NotificationUser.aspx?Id=12153&amp;Mode=0" TargetMode="External"/><Relationship Id="rId26" Type="http://schemas.openxmlformats.org/officeDocument/2006/relationships/hyperlink" Target="https://www.rbi.org.in/scripts/NotificationUser.aspx?Id=12356&amp;Mode=0" TargetMode="External"/><Relationship Id="rId47" Type="http://schemas.openxmlformats.org/officeDocument/2006/relationships/hyperlink" Target="https://m.rbi.org.in/scripts/BS_ViewMasCirculardetails.aspx?id=12367" TargetMode="External"/><Relationship Id="rId68" Type="http://schemas.openxmlformats.org/officeDocument/2006/relationships/hyperlink" Target="https://rbi.org.in/scripts/FS_Notification.aspx?Id=12378&amp;fn=2&amp;Mode=0" TargetMode="External"/><Relationship Id="rId89" Type="http://schemas.openxmlformats.org/officeDocument/2006/relationships/hyperlink" Target="https://m.rbi.org.in/Scripts/BS_ViewMasCirculardetails.aspx?id=12278" TargetMode="External"/><Relationship Id="rId112" Type="http://schemas.openxmlformats.org/officeDocument/2006/relationships/hyperlink" Target="https://www.rbi.org.in/Scripts/BS_ViewMasCirculardetails.aspx?id=12278" TargetMode="External"/><Relationship Id="rId133" Type="http://schemas.openxmlformats.org/officeDocument/2006/relationships/hyperlink" Target="https://www.rbi.org.in/Scripts/NotificationUser.aspx?Id=12400&amp;Mode=0" TargetMode="External"/><Relationship Id="rId154" Type="http://schemas.openxmlformats.org/officeDocument/2006/relationships/hyperlink" Target="https://www.rbi.org.in/scripts/NotificationUser.aspx?Id=12412&amp;Mode=0" TargetMode="External"/><Relationship Id="rId175" Type="http://schemas.openxmlformats.org/officeDocument/2006/relationships/hyperlink" Target="https://m.rbi.org.in/Scripts/BS_PressReleaseDisplay.aspx?prid=54059" TargetMode="External"/><Relationship Id="rId196" Type="http://schemas.openxmlformats.org/officeDocument/2006/relationships/hyperlink" Target="https://prism.rbi.org.in/DAKSH/portal/" TargetMode="External"/><Relationship Id="rId200" Type="http://schemas.openxmlformats.org/officeDocument/2006/relationships/hyperlink" Target="https://rbi.org.in/Scripts/NotificationUser.aspx?Id=12336&amp;Mode=0" TargetMode="External"/><Relationship Id="rId16" Type="http://schemas.openxmlformats.org/officeDocument/2006/relationships/hyperlink" Target="https://www.rbi.org.in/scripts/NotificationUser.aspx?Id=12351&amp;Mode=0" TargetMode="External"/><Relationship Id="rId37" Type="http://schemas.openxmlformats.org/officeDocument/2006/relationships/hyperlink" Target="https://www.rbi.org.in/Scripts/NotificationUser.aspx?Id=12345&amp;Mode=0" TargetMode="External"/><Relationship Id="rId58" Type="http://schemas.openxmlformats.org/officeDocument/2006/relationships/hyperlink" Target="https://m.rbi.org.in/Scripts/BS_PressReleaseDisplay.aspx?prid=54149" TargetMode="External"/><Relationship Id="rId79" Type="http://schemas.openxmlformats.org/officeDocument/2006/relationships/hyperlink" Target="https://rbi.org.in/Scripts/NotificationUser.aspx?Id=10257&amp;Mode=0" TargetMode="External"/><Relationship Id="rId102" Type="http://schemas.openxmlformats.org/officeDocument/2006/relationships/hyperlink" Target="https://rbi.org.in/Scripts/NotificationUser.aspx?Id=12389&amp;Mode=0" TargetMode="External"/><Relationship Id="rId123" Type="http://schemas.openxmlformats.org/officeDocument/2006/relationships/hyperlink" Target="https://m.rbi.org.in/Scripts/BS_ViewMasDirections.aspx?id=10485" TargetMode="External"/><Relationship Id="rId144" Type="http://schemas.openxmlformats.org/officeDocument/2006/relationships/hyperlink" Target="https://www.rbi.org.in/Scripts/BS_ViewMasDirections.aspx?id=12131" TargetMode="External"/><Relationship Id="rId90" Type="http://schemas.openxmlformats.org/officeDocument/2006/relationships/hyperlink" Target="https://m.rbi.org.in/scripts/FS_Notification.aspx?Id=12384&amp;fn=2&amp;Mode=0" TargetMode="External"/><Relationship Id="rId165" Type="http://schemas.openxmlformats.org/officeDocument/2006/relationships/hyperlink" Target="https://www.rbi.org.in/Scripts/BS_PressReleaseDisplay.aspx?prid=52094" TargetMode="External"/><Relationship Id="rId186" Type="http://schemas.openxmlformats.org/officeDocument/2006/relationships/hyperlink" Target="https://m.rbi.org.in/scripts/FS_Notification.aspx?Id=12423&amp;fn=6&amp;Mode=0" TargetMode="External"/><Relationship Id="rId27" Type="http://schemas.openxmlformats.org/officeDocument/2006/relationships/hyperlink" Target="https://rbi.org.in/Scripts/NotificationUser.aspx?Id=12358&amp;Mode=0" TargetMode="External"/><Relationship Id="rId48" Type="http://schemas.openxmlformats.org/officeDocument/2006/relationships/hyperlink" Target="https://www.rbi.org.in/Scripts/BS_ViewMasDirections.aspx?id=10084" TargetMode="External"/><Relationship Id="rId69" Type="http://schemas.openxmlformats.org/officeDocument/2006/relationships/hyperlink" Target="https://rbi.org.in/scripts/FS_Notification.aspx?Id=12378&amp;fn=2&amp;Mode=0" TargetMode="External"/><Relationship Id="rId113" Type="http://schemas.openxmlformats.org/officeDocument/2006/relationships/hyperlink" Target="https://www.rbi.org.in/Scripts/NotificationUser.aspx?Id=12396&amp;Mode=0" TargetMode="External"/><Relationship Id="rId134" Type="http://schemas.openxmlformats.org/officeDocument/2006/relationships/hyperlink" Target="https://www.rbi.org.in/Scripts/NotificationUser.aspx?Id=12400&amp;Mode=0" TargetMode="External"/><Relationship Id="rId80" Type="http://schemas.openxmlformats.org/officeDocument/2006/relationships/hyperlink" Target="https://www.rbi.org.in/scripts/NotificationUser.aspx?Id=12381&amp;Mode=0" TargetMode="External"/><Relationship Id="rId155" Type="http://schemas.openxmlformats.org/officeDocument/2006/relationships/hyperlink" Target="https://www.rbi.org.in/scripts/NotificationUser.aspx?Id=12412&amp;Mode=0" TargetMode="External"/><Relationship Id="rId176" Type="http://schemas.openxmlformats.org/officeDocument/2006/relationships/hyperlink" Target="https://m.rbi.org.in/Scripts/NotificationUser.aspx?Id=12416&amp;Mode=0" TargetMode="External"/><Relationship Id="rId197" Type="http://schemas.openxmlformats.org/officeDocument/2006/relationships/hyperlink" Target="https://m.rbi.org.in/scripts/FS_Notification.aspx?Id=12431&amp;fn=9&amp;Mode=0" TargetMode="External"/><Relationship Id="rId201" Type="http://schemas.openxmlformats.org/officeDocument/2006/relationships/hyperlink" Target="https://www.rbi.org.in/Scripts/BS_CircularIndexDisplay.aspx?Id=12432" TargetMode="External"/><Relationship Id="rId17" Type="http://schemas.openxmlformats.org/officeDocument/2006/relationships/hyperlink" Target="https://www.rbi.org.in/Scripts/BS_PressReleaseDisplay.aspx?prid=53979" TargetMode="External"/><Relationship Id="rId38" Type="http://schemas.openxmlformats.org/officeDocument/2006/relationships/hyperlink" Target="https://www.rbi.org.in/scripts/BS_CircularIndexDisplay.aspx?Id=12363" TargetMode="External"/><Relationship Id="rId59" Type="http://schemas.openxmlformats.org/officeDocument/2006/relationships/hyperlink" Target="https://m.rbi.org.in/Scripts/BS_PressReleaseDisplay.aspx?prid=54148" TargetMode="External"/><Relationship Id="rId103" Type="http://schemas.openxmlformats.org/officeDocument/2006/relationships/hyperlink" Target="https://rbi.org.in/Scripts/NotificationUser.aspx?Id=12389&amp;Mode=0" TargetMode="External"/><Relationship Id="rId124" Type="http://schemas.openxmlformats.org/officeDocument/2006/relationships/hyperlink" Target="https://m.rbi.org.in/Scripts/BS_ViewMasDirections.aspx?id=10567" TargetMode="External"/><Relationship Id="rId70" Type="http://schemas.openxmlformats.org/officeDocument/2006/relationships/hyperlink" Target="https://www.rbi.org.in/Scripts/BS_ViewMasDirections.aspx?id=12256" TargetMode="External"/><Relationship Id="rId91" Type="http://schemas.openxmlformats.org/officeDocument/2006/relationships/hyperlink" Target="https://www.rbi.org.in/Scripts/NotificationUser.aspx?Id=8832&amp;Mode=0" TargetMode="External"/><Relationship Id="rId145" Type="http://schemas.openxmlformats.org/officeDocument/2006/relationships/hyperlink" Target="https://www.rbi.org.in/scripts/FS_Notification.aspx?Id=12403&amp;fn=2&amp;Mode=0" TargetMode="External"/><Relationship Id="rId166" Type="http://schemas.openxmlformats.org/officeDocument/2006/relationships/hyperlink" Target="https://www.rbi.org.in/Scripts/NotificationUser.aspx?Id=12415&amp;Mode=0" TargetMode="External"/><Relationship Id="rId187" Type="http://schemas.openxmlformats.org/officeDocument/2006/relationships/hyperlink" Target="https://rbi.org.in/Scripts/NotificationUser.aspx?Id=179&amp;Mode=0" TargetMode="External"/><Relationship Id="rId1" Type="http://schemas.openxmlformats.org/officeDocument/2006/relationships/numbering" Target="numbering.xml"/><Relationship Id="rId28" Type="http://schemas.openxmlformats.org/officeDocument/2006/relationships/hyperlink" Target="https://www.rbi.org.in/Scripts/BS_ViewMasCirculardetails.aspx?id=12062" TargetMode="External"/><Relationship Id="rId49" Type="http://schemas.openxmlformats.org/officeDocument/2006/relationships/hyperlink" Target="https://www.rbi.org.in/scripts/NotificationUser.aspx?Id=12368&amp;Mode=0" TargetMode="External"/><Relationship Id="rId114" Type="http://schemas.openxmlformats.org/officeDocument/2006/relationships/hyperlink" Target="https://www.rbi.org.in/Scripts/NotificationUser.aspx?Id=11347&amp;Mode=0" TargetMode="External"/><Relationship Id="rId60" Type="http://schemas.openxmlformats.org/officeDocument/2006/relationships/hyperlink" Target="https://m.rbi.org.in/Scripts/NotificationUser.aspx?Id=11602&amp;Mode=0" TargetMode="External"/><Relationship Id="rId81" Type="http://schemas.openxmlformats.org/officeDocument/2006/relationships/hyperlink" Target="https://www.rbi.org.in/Scripts/BS_PressReleaseDisplay.aspx?prid=54187" TargetMode="External"/><Relationship Id="rId135" Type="http://schemas.openxmlformats.org/officeDocument/2006/relationships/hyperlink" Target="https://www.rbi.org.in/Scripts/NotificationUser.aspx?Id=12400&amp;Mode=0" TargetMode="External"/><Relationship Id="rId156" Type="http://schemas.openxmlformats.org/officeDocument/2006/relationships/hyperlink" Target="https://www.rbi.org.in/Scripts/NotificationUser.aspx?Id=8934&amp;Mode=0" TargetMode="External"/><Relationship Id="rId177" Type="http://schemas.openxmlformats.org/officeDocument/2006/relationships/hyperlink" Target="https://m.rbi.org.in/scripts/FS_Notification.aspx?Id=12418&amp;fn=2755&amp;Mode=0" TargetMode="External"/><Relationship Id="rId198" Type="http://schemas.openxmlformats.org/officeDocument/2006/relationships/hyperlink" Target="https://m.rbi.org.in/scripts/FS_Notification.aspx?Id=12431&amp;fn=9&amp;Mode=0" TargetMode="External"/><Relationship Id="rId202" Type="http://schemas.openxmlformats.org/officeDocument/2006/relationships/fontTable" Target="fontTable.xml"/><Relationship Id="rId18" Type="http://schemas.openxmlformats.org/officeDocument/2006/relationships/hyperlink" Target="https://www.rbi.org.in/Scripts/NotificationUser.aspx?Id=12099&amp;Mode=0" TargetMode="External"/><Relationship Id="rId39" Type="http://schemas.openxmlformats.org/officeDocument/2006/relationships/hyperlink" Target="https://www.rbi.org.in/scripts/FS_Notification.aspx?Id=12377&amp;fn=5&amp;Mode=0" TargetMode="External"/><Relationship Id="rId50" Type="http://schemas.openxmlformats.org/officeDocument/2006/relationships/hyperlink" Target="https://www.rbi.org.in/Scripts/NotificationUser.aspx?Id=12192&amp;Mode=0" TargetMode="External"/><Relationship Id="rId104" Type="http://schemas.openxmlformats.org/officeDocument/2006/relationships/hyperlink" Target="https://rbi.org.in/Scripts/NotificationUser.aspx?Id=12389&amp;Mode=0" TargetMode="External"/><Relationship Id="rId125" Type="http://schemas.openxmlformats.org/officeDocument/2006/relationships/hyperlink" Target="https://m.rbi.org.in/scripts/FS_Notification.aspx?Id=12398&amp;fn=6&amp;Mode=0" TargetMode="External"/><Relationship Id="rId146" Type="http://schemas.openxmlformats.org/officeDocument/2006/relationships/hyperlink" Target="https://rbi.org.in/Scripts/NotificationUser.aspx?Id=10128&amp;Mode=0" TargetMode="External"/><Relationship Id="rId167" Type="http://schemas.openxmlformats.org/officeDocument/2006/relationships/hyperlink" Target="https://www.rbi.org.in/Scripts/NotificationUser.aspx?Id=12415&amp;Mode=0" TargetMode="External"/><Relationship Id="rId188" Type="http://schemas.openxmlformats.org/officeDocument/2006/relationships/hyperlink" Target="https://www.rbi.org.in/Scripts/BS_ViewMasDirections.aspx?id=12427" TargetMode="External"/><Relationship Id="rId71" Type="http://schemas.openxmlformats.org/officeDocument/2006/relationships/hyperlink" Target="https://rbi.org.in/scripts/FS_Notification.aspx?Id=12378&amp;fn=2&amp;Mode=0" TargetMode="External"/><Relationship Id="rId92" Type="http://schemas.openxmlformats.org/officeDocument/2006/relationships/hyperlink" Target="https://rbi.org.in/Scripts/BS_PressReleaseDisplay.aspx?prid=54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19618</Words>
  <Characters>111826</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soumya P</cp:lastModifiedBy>
  <cp:revision>2</cp:revision>
  <dcterms:created xsi:type="dcterms:W3CDTF">2023-03-06T07:37:00Z</dcterms:created>
  <dcterms:modified xsi:type="dcterms:W3CDTF">2023-03-06T07:37:00Z</dcterms:modified>
</cp:coreProperties>
</file>